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914CD" w:rsidRDefault="00F914CD" w:rsidP="00F914CD">
      <w:pPr>
        <w:jc w:val="center"/>
        <w:rPr>
          <w:sz w:val="24"/>
          <w:szCs w:val="24"/>
        </w:rPr>
      </w:pPr>
      <w:r>
        <w:rPr>
          <w:noProof/>
          <w:lang w:eastAsia="en-GB"/>
        </w:rPr>
        <w:drawing>
          <wp:inline distT="0" distB="0" distL="0" distR="0" wp14:anchorId="15F1C4D9" wp14:editId="771964A9">
            <wp:extent cx="2691441" cy="2755276"/>
            <wp:effectExtent l="0" t="0" r="0" b="698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2693161" cy="2757037"/>
                    </a:xfrm>
                    <a:prstGeom prst="rect">
                      <a:avLst/>
                    </a:prstGeom>
                  </pic:spPr>
                </pic:pic>
              </a:graphicData>
            </a:graphic>
          </wp:inline>
        </w:drawing>
      </w:r>
    </w:p>
    <w:p w:rsidR="00F914CD" w:rsidRPr="00C521A1" w:rsidRDefault="00F914CD" w:rsidP="00F914CD">
      <w:pPr>
        <w:pStyle w:val="NoSpacing"/>
        <w:jc w:val="center"/>
        <w:rPr>
          <w:b/>
          <w:sz w:val="40"/>
          <w:szCs w:val="40"/>
        </w:rPr>
      </w:pPr>
      <w:r w:rsidRPr="00C521A1">
        <w:rPr>
          <w:b/>
          <w:sz w:val="40"/>
          <w:szCs w:val="40"/>
        </w:rPr>
        <w:t>NATALIA GONCHAROVA</w:t>
      </w:r>
    </w:p>
    <w:p w:rsidR="00F914CD" w:rsidRPr="00C521A1" w:rsidRDefault="00F914CD" w:rsidP="00F914CD">
      <w:pPr>
        <w:pStyle w:val="NoSpacing"/>
        <w:jc w:val="center"/>
        <w:rPr>
          <w:b/>
          <w:sz w:val="40"/>
          <w:szCs w:val="40"/>
        </w:rPr>
      </w:pPr>
      <w:r w:rsidRPr="00C521A1">
        <w:rPr>
          <w:b/>
          <w:sz w:val="40"/>
          <w:szCs w:val="40"/>
        </w:rPr>
        <w:t>(1881-1960)</w:t>
      </w:r>
    </w:p>
    <w:p w:rsidR="00F914CD" w:rsidRDefault="00F914CD" w:rsidP="00F914CD">
      <w:pPr>
        <w:jc w:val="center"/>
        <w:rPr>
          <w:sz w:val="24"/>
          <w:szCs w:val="24"/>
        </w:rPr>
      </w:pPr>
    </w:p>
    <w:p w:rsidR="00F914CD" w:rsidRDefault="00F914CD" w:rsidP="00F914CD">
      <w:pPr>
        <w:jc w:val="center"/>
        <w:rPr>
          <w:sz w:val="24"/>
          <w:szCs w:val="24"/>
        </w:rPr>
      </w:pPr>
      <w:r>
        <w:rPr>
          <w:noProof/>
          <w:lang w:eastAsia="en-GB"/>
        </w:rPr>
        <w:drawing>
          <wp:inline distT="0" distB="0" distL="0" distR="0" wp14:anchorId="1F6295B0" wp14:editId="24153C35">
            <wp:extent cx="2959100" cy="3813175"/>
            <wp:effectExtent l="0" t="0" r="0" b="0"/>
            <wp:docPr id="7" name="Picture 7" descr="http://www.msi-mall.com/art/avantgarde/images/artists/goncharo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msi-mall.com/art/avantgarde/images/artists/goncharova.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959100" cy="3813175"/>
                    </a:xfrm>
                    <a:prstGeom prst="rect">
                      <a:avLst/>
                    </a:prstGeom>
                    <a:noFill/>
                    <a:ln>
                      <a:noFill/>
                    </a:ln>
                  </pic:spPr>
                </pic:pic>
              </a:graphicData>
            </a:graphic>
          </wp:inline>
        </w:drawing>
      </w:r>
    </w:p>
    <w:p w:rsidR="00F914CD" w:rsidRDefault="00F914CD" w:rsidP="00F914CD">
      <w:pPr>
        <w:jc w:val="center"/>
        <w:rPr>
          <w:sz w:val="24"/>
          <w:szCs w:val="24"/>
        </w:rPr>
      </w:pPr>
    </w:p>
    <w:p w:rsidR="00F914CD" w:rsidRDefault="00F914CD" w:rsidP="00F914CD">
      <w:pPr>
        <w:jc w:val="center"/>
        <w:rPr>
          <w:b/>
          <w:sz w:val="40"/>
          <w:szCs w:val="40"/>
        </w:rPr>
      </w:pPr>
      <w:r w:rsidRPr="004A5392">
        <w:rPr>
          <w:b/>
          <w:sz w:val="40"/>
          <w:szCs w:val="40"/>
        </w:rPr>
        <w:t>A SCANDAL</w:t>
      </w:r>
    </w:p>
    <w:p w:rsidR="00F914CD" w:rsidRDefault="00F914CD" w:rsidP="00F914CD">
      <w:pPr>
        <w:pStyle w:val="NoSpacing"/>
        <w:jc w:val="both"/>
        <w:rPr>
          <w:sz w:val="24"/>
          <w:szCs w:val="24"/>
        </w:rPr>
      </w:pPr>
    </w:p>
    <w:p w:rsidR="00F914CD" w:rsidRDefault="00F914CD" w:rsidP="00F914CD">
      <w:pPr>
        <w:jc w:val="center"/>
        <w:rPr>
          <w:b/>
          <w:sz w:val="40"/>
          <w:szCs w:val="40"/>
        </w:rPr>
      </w:pPr>
    </w:p>
    <w:p w:rsidR="00F914CD" w:rsidRDefault="00F914CD" w:rsidP="00F914CD">
      <w:pPr>
        <w:pStyle w:val="NoSpacing"/>
        <w:jc w:val="both"/>
        <w:rPr>
          <w:sz w:val="24"/>
          <w:szCs w:val="24"/>
        </w:rPr>
      </w:pPr>
    </w:p>
    <w:p w:rsidR="00F914CD" w:rsidRDefault="00F914CD" w:rsidP="00F914CD">
      <w:pPr>
        <w:autoSpaceDE w:val="0"/>
        <w:autoSpaceDN w:val="0"/>
        <w:adjustRightInd w:val="0"/>
        <w:spacing w:after="0" w:line="240" w:lineRule="auto"/>
        <w:jc w:val="both"/>
        <w:rPr>
          <w:rFonts w:cs="HeliosBlack"/>
          <w:b/>
          <w:sz w:val="24"/>
          <w:szCs w:val="24"/>
          <w:u w:val="single"/>
        </w:rPr>
      </w:pPr>
    </w:p>
    <w:p w:rsidR="00F914CD" w:rsidRDefault="00F914CD" w:rsidP="00F914CD">
      <w:pPr>
        <w:autoSpaceDE w:val="0"/>
        <w:autoSpaceDN w:val="0"/>
        <w:adjustRightInd w:val="0"/>
        <w:spacing w:after="0" w:line="240" w:lineRule="auto"/>
        <w:jc w:val="both"/>
        <w:rPr>
          <w:rFonts w:cs="HeliosBlack"/>
          <w:b/>
          <w:sz w:val="24"/>
          <w:szCs w:val="24"/>
          <w:u w:val="single"/>
        </w:rPr>
      </w:pPr>
    </w:p>
    <w:p w:rsidR="00F914CD" w:rsidRDefault="00F914CD" w:rsidP="00F914CD">
      <w:pPr>
        <w:autoSpaceDE w:val="0"/>
        <w:autoSpaceDN w:val="0"/>
        <w:adjustRightInd w:val="0"/>
        <w:spacing w:after="0" w:line="240" w:lineRule="auto"/>
        <w:jc w:val="both"/>
        <w:rPr>
          <w:rFonts w:cs="HeliosBlack"/>
          <w:b/>
          <w:sz w:val="24"/>
          <w:szCs w:val="24"/>
          <w:u w:val="single"/>
        </w:rPr>
      </w:pPr>
    </w:p>
    <w:p w:rsidR="00F914CD" w:rsidRDefault="00F914CD" w:rsidP="00F914CD">
      <w:pPr>
        <w:autoSpaceDE w:val="0"/>
        <w:autoSpaceDN w:val="0"/>
        <w:adjustRightInd w:val="0"/>
        <w:spacing w:after="0" w:line="240" w:lineRule="auto"/>
        <w:jc w:val="both"/>
        <w:rPr>
          <w:rFonts w:cs="HeliosBlack"/>
          <w:b/>
          <w:sz w:val="24"/>
          <w:szCs w:val="24"/>
          <w:u w:val="single"/>
        </w:rPr>
      </w:pPr>
    </w:p>
    <w:p w:rsidR="00F914CD" w:rsidRPr="008D31FA" w:rsidRDefault="00F914CD" w:rsidP="00F914CD">
      <w:pPr>
        <w:autoSpaceDE w:val="0"/>
        <w:autoSpaceDN w:val="0"/>
        <w:adjustRightInd w:val="0"/>
        <w:spacing w:after="0" w:line="240" w:lineRule="auto"/>
        <w:jc w:val="both"/>
        <w:rPr>
          <w:rFonts w:cs="HeliosBlack"/>
          <w:b/>
          <w:sz w:val="32"/>
          <w:szCs w:val="32"/>
          <w:u w:val="single"/>
        </w:rPr>
      </w:pPr>
      <w:r w:rsidRPr="008D31FA">
        <w:rPr>
          <w:rFonts w:cs="HeliosBlack"/>
          <w:b/>
          <w:sz w:val="32"/>
          <w:szCs w:val="32"/>
          <w:u w:val="single"/>
        </w:rPr>
        <w:t xml:space="preserve">Natalia Goncharova. ‘Discoveries’ </w:t>
      </w:r>
    </w:p>
    <w:p w:rsidR="00F914CD" w:rsidRPr="008D31FA" w:rsidRDefault="00F914CD" w:rsidP="00F914CD">
      <w:pPr>
        <w:autoSpaceDE w:val="0"/>
        <w:autoSpaceDN w:val="0"/>
        <w:adjustRightInd w:val="0"/>
        <w:spacing w:after="0" w:line="240" w:lineRule="auto"/>
        <w:jc w:val="both"/>
        <w:rPr>
          <w:rFonts w:cs="HeliosBlack"/>
          <w:sz w:val="32"/>
          <w:szCs w:val="32"/>
        </w:rPr>
      </w:pPr>
    </w:p>
    <w:p w:rsidR="00F914CD" w:rsidRPr="008D31FA" w:rsidRDefault="00F914CD" w:rsidP="00F914CD">
      <w:pPr>
        <w:autoSpaceDE w:val="0"/>
        <w:autoSpaceDN w:val="0"/>
        <w:adjustRightInd w:val="0"/>
        <w:spacing w:after="0" w:line="240" w:lineRule="auto"/>
        <w:jc w:val="both"/>
        <w:rPr>
          <w:rFonts w:cs="HeliosBlack"/>
          <w:sz w:val="32"/>
          <w:szCs w:val="32"/>
        </w:rPr>
      </w:pPr>
      <w:r w:rsidRPr="008D31FA">
        <w:rPr>
          <w:rFonts w:cs="HeliosBlack"/>
          <w:sz w:val="32"/>
          <w:szCs w:val="32"/>
        </w:rPr>
        <w:t>Introduction.</w:t>
      </w:r>
      <w:r w:rsidRPr="008D31FA">
        <w:rPr>
          <w:rFonts w:cs="HeliosBlack"/>
          <w:sz w:val="32"/>
          <w:szCs w:val="32"/>
        </w:rPr>
        <w:tab/>
      </w:r>
      <w:r w:rsidRPr="008D31FA">
        <w:rPr>
          <w:rFonts w:cs="HeliosBlack"/>
          <w:sz w:val="32"/>
          <w:szCs w:val="32"/>
        </w:rPr>
        <w:tab/>
      </w:r>
      <w:r w:rsidRPr="008D31FA">
        <w:rPr>
          <w:rFonts w:cs="HeliosBlack"/>
          <w:sz w:val="32"/>
          <w:szCs w:val="32"/>
        </w:rPr>
        <w:tab/>
      </w:r>
      <w:r w:rsidRPr="008D31FA">
        <w:rPr>
          <w:rFonts w:cs="HeliosBlack"/>
          <w:sz w:val="32"/>
          <w:szCs w:val="32"/>
        </w:rPr>
        <w:tab/>
      </w:r>
      <w:r w:rsidRPr="008D31FA">
        <w:rPr>
          <w:rFonts w:cs="HeliosBlack"/>
          <w:sz w:val="32"/>
          <w:szCs w:val="32"/>
        </w:rPr>
        <w:tab/>
      </w:r>
      <w:r w:rsidRPr="008D31FA">
        <w:rPr>
          <w:rFonts w:cs="HeliosBlack"/>
          <w:sz w:val="32"/>
          <w:szCs w:val="32"/>
        </w:rPr>
        <w:tab/>
      </w:r>
      <w:r w:rsidRPr="008D31FA">
        <w:rPr>
          <w:rFonts w:cs="HeliosBlack"/>
          <w:sz w:val="32"/>
          <w:szCs w:val="32"/>
        </w:rPr>
        <w:tab/>
      </w:r>
      <w:r w:rsidRPr="008D31FA">
        <w:rPr>
          <w:rFonts w:cs="HeliosBlack"/>
          <w:sz w:val="32"/>
          <w:szCs w:val="32"/>
        </w:rPr>
        <w:tab/>
      </w:r>
      <w:r w:rsidRPr="008D31FA">
        <w:rPr>
          <w:rFonts w:cs="HeliosBlack"/>
          <w:sz w:val="32"/>
          <w:szCs w:val="32"/>
        </w:rPr>
        <w:tab/>
        <w:t>3</w:t>
      </w:r>
    </w:p>
    <w:p w:rsidR="00F914CD" w:rsidRPr="008D31FA" w:rsidRDefault="00F914CD" w:rsidP="00F914CD">
      <w:pPr>
        <w:pStyle w:val="NoSpacing"/>
        <w:jc w:val="both"/>
        <w:rPr>
          <w:sz w:val="32"/>
          <w:szCs w:val="32"/>
        </w:rPr>
      </w:pPr>
    </w:p>
    <w:p w:rsidR="00F914CD" w:rsidRPr="008D31FA" w:rsidRDefault="00F914CD" w:rsidP="00F914CD">
      <w:pPr>
        <w:autoSpaceDE w:val="0"/>
        <w:autoSpaceDN w:val="0"/>
        <w:adjustRightInd w:val="0"/>
        <w:spacing w:after="0" w:line="240" w:lineRule="auto"/>
        <w:jc w:val="both"/>
        <w:rPr>
          <w:rFonts w:cs="HeliosBlack"/>
          <w:sz w:val="32"/>
          <w:szCs w:val="32"/>
        </w:rPr>
      </w:pPr>
      <w:r w:rsidRPr="008D31FA">
        <w:rPr>
          <w:rFonts w:cs="HeliosBlack"/>
          <w:sz w:val="32"/>
          <w:szCs w:val="32"/>
        </w:rPr>
        <w:t>Background.</w:t>
      </w:r>
      <w:r w:rsidRPr="008D31FA">
        <w:rPr>
          <w:rFonts w:cs="HeliosBlack"/>
          <w:sz w:val="32"/>
          <w:szCs w:val="32"/>
        </w:rPr>
        <w:tab/>
      </w:r>
      <w:r w:rsidRPr="008D31FA">
        <w:rPr>
          <w:rFonts w:cs="HeliosBlack"/>
          <w:sz w:val="32"/>
          <w:szCs w:val="32"/>
        </w:rPr>
        <w:tab/>
      </w:r>
      <w:r w:rsidRPr="008D31FA">
        <w:rPr>
          <w:rFonts w:cs="HeliosBlack"/>
          <w:sz w:val="32"/>
          <w:szCs w:val="32"/>
        </w:rPr>
        <w:tab/>
      </w:r>
      <w:r w:rsidRPr="008D31FA">
        <w:rPr>
          <w:rFonts w:cs="HeliosBlack"/>
          <w:sz w:val="32"/>
          <w:szCs w:val="32"/>
        </w:rPr>
        <w:tab/>
      </w:r>
      <w:r w:rsidRPr="008D31FA">
        <w:rPr>
          <w:rFonts w:cs="HeliosBlack"/>
          <w:sz w:val="32"/>
          <w:szCs w:val="32"/>
        </w:rPr>
        <w:tab/>
      </w:r>
      <w:r w:rsidRPr="008D31FA">
        <w:rPr>
          <w:rFonts w:cs="HeliosBlack"/>
          <w:sz w:val="32"/>
          <w:szCs w:val="32"/>
        </w:rPr>
        <w:tab/>
      </w:r>
      <w:r w:rsidRPr="008D31FA">
        <w:rPr>
          <w:rFonts w:cs="HeliosBlack"/>
          <w:sz w:val="32"/>
          <w:szCs w:val="32"/>
        </w:rPr>
        <w:tab/>
      </w:r>
      <w:r w:rsidRPr="008D31FA">
        <w:rPr>
          <w:rFonts w:cs="HeliosBlack"/>
          <w:sz w:val="32"/>
          <w:szCs w:val="32"/>
        </w:rPr>
        <w:tab/>
      </w:r>
      <w:r w:rsidRPr="008D31FA">
        <w:rPr>
          <w:rFonts w:cs="HeliosBlack"/>
          <w:sz w:val="32"/>
          <w:szCs w:val="32"/>
        </w:rPr>
        <w:tab/>
        <w:t>4</w:t>
      </w:r>
    </w:p>
    <w:p w:rsidR="00F914CD" w:rsidRPr="008D31FA" w:rsidRDefault="00F914CD" w:rsidP="00F914CD">
      <w:pPr>
        <w:autoSpaceDE w:val="0"/>
        <w:autoSpaceDN w:val="0"/>
        <w:adjustRightInd w:val="0"/>
        <w:spacing w:after="0" w:line="240" w:lineRule="auto"/>
        <w:jc w:val="both"/>
        <w:rPr>
          <w:rFonts w:cs="Helios"/>
          <w:color w:val="000000"/>
          <w:sz w:val="32"/>
          <w:szCs w:val="32"/>
        </w:rPr>
      </w:pPr>
    </w:p>
    <w:p w:rsidR="00F914CD" w:rsidRPr="008D31FA" w:rsidRDefault="00F914CD" w:rsidP="00F914CD">
      <w:pPr>
        <w:autoSpaceDE w:val="0"/>
        <w:autoSpaceDN w:val="0"/>
        <w:adjustRightInd w:val="0"/>
        <w:spacing w:after="0" w:line="240" w:lineRule="auto"/>
        <w:jc w:val="both"/>
        <w:rPr>
          <w:rFonts w:cs="HeliosBlack"/>
          <w:sz w:val="32"/>
          <w:szCs w:val="32"/>
        </w:rPr>
      </w:pPr>
      <w:r w:rsidRPr="008D31FA">
        <w:rPr>
          <w:rFonts w:cs="HeliosBlack"/>
          <w:sz w:val="32"/>
          <w:szCs w:val="32"/>
        </w:rPr>
        <w:t>Stylistic comparisons.</w:t>
      </w:r>
      <w:r w:rsidRPr="008D31FA">
        <w:rPr>
          <w:rFonts w:cs="HeliosBlack"/>
          <w:sz w:val="32"/>
          <w:szCs w:val="32"/>
        </w:rPr>
        <w:tab/>
      </w:r>
      <w:r w:rsidRPr="008D31FA">
        <w:rPr>
          <w:rFonts w:cs="HeliosBlack"/>
          <w:sz w:val="32"/>
          <w:szCs w:val="32"/>
        </w:rPr>
        <w:tab/>
      </w:r>
      <w:r w:rsidRPr="008D31FA">
        <w:rPr>
          <w:rFonts w:cs="HeliosBlack"/>
          <w:sz w:val="32"/>
          <w:szCs w:val="32"/>
        </w:rPr>
        <w:tab/>
      </w:r>
      <w:r w:rsidRPr="008D31FA">
        <w:rPr>
          <w:rFonts w:cs="HeliosBlack"/>
          <w:sz w:val="32"/>
          <w:szCs w:val="32"/>
        </w:rPr>
        <w:tab/>
      </w:r>
      <w:r w:rsidRPr="008D31FA">
        <w:rPr>
          <w:rFonts w:cs="HeliosBlack"/>
          <w:sz w:val="32"/>
          <w:szCs w:val="32"/>
        </w:rPr>
        <w:tab/>
      </w:r>
      <w:r w:rsidRPr="008D31FA">
        <w:rPr>
          <w:rFonts w:cs="HeliosBlack"/>
          <w:sz w:val="32"/>
          <w:szCs w:val="32"/>
        </w:rPr>
        <w:tab/>
      </w:r>
      <w:r w:rsidRPr="008D31FA">
        <w:rPr>
          <w:rFonts w:cs="HeliosBlack"/>
          <w:sz w:val="32"/>
          <w:szCs w:val="32"/>
        </w:rPr>
        <w:tab/>
      </w:r>
      <w:r w:rsidRPr="008D31FA">
        <w:rPr>
          <w:rFonts w:cs="HeliosBlack"/>
          <w:sz w:val="32"/>
          <w:szCs w:val="32"/>
        </w:rPr>
        <w:tab/>
        <w:t>4-7</w:t>
      </w:r>
    </w:p>
    <w:p w:rsidR="00F914CD" w:rsidRPr="008D31FA" w:rsidRDefault="00F914CD" w:rsidP="00F914CD">
      <w:pPr>
        <w:pStyle w:val="NoSpacing"/>
        <w:jc w:val="both"/>
        <w:rPr>
          <w:sz w:val="32"/>
          <w:szCs w:val="32"/>
        </w:rPr>
      </w:pPr>
    </w:p>
    <w:p w:rsidR="00F914CD" w:rsidRPr="008D31FA" w:rsidRDefault="00F914CD" w:rsidP="00F914CD">
      <w:pPr>
        <w:pStyle w:val="NoSpacing"/>
        <w:rPr>
          <w:sz w:val="32"/>
          <w:szCs w:val="32"/>
        </w:rPr>
      </w:pPr>
      <w:r w:rsidRPr="008D31FA">
        <w:rPr>
          <w:sz w:val="32"/>
          <w:szCs w:val="32"/>
        </w:rPr>
        <w:t>Negative certificates of expertise.</w:t>
      </w:r>
      <w:r w:rsidRPr="008D31FA">
        <w:rPr>
          <w:sz w:val="32"/>
          <w:szCs w:val="32"/>
        </w:rPr>
        <w:tab/>
      </w:r>
      <w:r w:rsidRPr="008D31FA">
        <w:rPr>
          <w:sz w:val="32"/>
          <w:szCs w:val="32"/>
        </w:rPr>
        <w:tab/>
      </w:r>
      <w:r w:rsidRPr="008D31FA">
        <w:rPr>
          <w:sz w:val="32"/>
          <w:szCs w:val="32"/>
        </w:rPr>
        <w:tab/>
      </w:r>
      <w:r w:rsidRPr="008D31FA">
        <w:rPr>
          <w:sz w:val="32"/>
          <w:szCs w:val="32"/>
        </w:rPr>
        <w:tab/>
      </w:r>
      <w:r w:rsidRPr="008D31FA">
        <w:rPr>
          <w:sz w:val="32"/>
          <w:szCs w:val="32"/>
        </w:rPr>
        <w:tab/>
        <w:t>8</w:t>
      </w:r>
    </w:p>
    <w:p w:rsidR="00F914CD" w:rsidRPr="008D31FA" w:rsidRDefault="00F914CD" w:rsidP="00F914CD">
      <w:pPr>
        <w:pStyle w:val="NoSpacing"/>
        <w:rPr>
          <w:rFonts w:cs="Helios"/>
          <w:color w:val="000000"/>
          <w:sz w:val="32"/>
          <w:szCs w:val="32"/>
        </w:rPr>
      </w:pPr>
    </w:p>
    <w:p w:rsidR="00F914CD" w:rsidRPr="008D31FA" w:rsidRDefault="00F914CD" w:rsidP="00F914CD">
      <w:pPr>
        <w:autoSpaceDE w:val="0"/>
        <w:autoSpaceDN w:val="0"/>
        <w:adjustRightInd w:val="0"/>
        <w:spacing w:after="0" w:line="240" w:lineRule="auto"/>
        <w:jc w:val="both"/>
        <w:rPr>
          <w:rFonts w:cs="HeliosBlack"/>
          <w:sz w:val="32"/>
          <w:szCs w:val="32"/>
        </w:rPr>
      </w:pPr>
      <w:r w:rsidRPr="008D31FA">
        <w:rPr>
          <w:rFonts w:cs="HeliosBlack"/>
          <w:sz w:val="32"/>
          <w:szCs w:val="32"/>
        </w:rPr>
        <w:t>Pre-1915 paintings by Natalia Goncharova.</w:t>
      </w:r>
      <w:r w:rsidRPr="008D31FA">
        <w:rPr>
          <w:rFonts w:cs="HeliosBlack"/>
          <w:sz w:val="32"/>
          <w:szCs w:val="32"/>
        </w:rPr>
        <w:tab/>
      </w:r>
      <w:r w:rsidRPr="008D31FA">
        <w:rPr>
          <w:rFonts w:cs="HeliosBlack"/>
          <w:sz w:val="32"/>
          <w:szCs w:val="32"/>
        </w:rPr>
        <w:tab/>
      </w:r>
      <w:r w:rsidRPr="008D31FA">
        <w:rPr>
          <w:rFonts w:cs="HeliosBlack"/>
          <w:sz w:val="32"/>
          <w:szCs w:val="32"/>
        </w:rPr>
        <w:tab/>
      </w:r>
      <w:r w:rsidRPr="008D31FA">
        <w:rPr>
          <w:rFonts w:cs="HeliosBlack"/>
          <w:sz w:val="32"/>
          <w:szCs w:val="32"/>
        </w:rPr>
        <w:tab/>
        <w:t>9</w:t>
      </w:r>
    </w:p>
    <w:p w:rsidR="00F914CD" w:rsidRPr="008D31FA" w:rsidRDefault="00F914CD" w:rsidP="00F914CD">
      <w:pPr>
        <w:autoSpaceDE w:val="0"/>
        <w:autoSpaceDN w:val="0"/>
        <w:adjustRightInd w:val="0"/>
        <w:spacing w:after="0" w:line="240" w:lineRule="auto"/>
        <w:jc w:val="both"/>
        <w:rPr>
          <w:rFonts w:cs="HeliosBlack"/>
          <w:sz w:val="32"/>
          <w:szCs w:val="32"/>
        </w:rPr>
      </w:pPr>
    </w:p>
    <w:p w:rsidR="00F914CD" w:rsidRPr="008D31FA" w:rsidRDefault="00F914CD" w:rsidP="00F914CD">
      <w:pPr>
        <w:autoSpaceDE w:val="0"/>
        <w:autoSpaceDN w:val="0"/>
        <w:adjustRightInd w:val="0"/>
        <w:spacing w:after="0" w:line="240" w:lineRule="auto"/>
        <w:jc w:val="both"/>
        <w:rPr>
          <w:rFonts w:cs="HeliosBlack"/>
          <w:sz w:val="32"/>
          <w:szCs w:val="32"/>
        </w:rPr>
      </w:pPr>
      <w:r w:rsidRPr="008D31FA">
        <w:rPr>
          <w:rFonts w:cs="HeliosBlack"/>
          <w:sz w:val="32"/>
          <w:szCs w:val="32"/>
        </w:rPr>
        <w:t>Absence of credible provenance or exhibition history</w:t>
      </w:r>
      <w:r w:rsidRPr="008D31FA">
        <w:rPr>
          <w:rFonts w:cs="HeliosBlack"/>
          <w:sz w:val="32"/>
          <w:szCs w:val="32"/>
        </w:rPr>
        <w:tab/>
      </w:r>
      <w:r w:rsidRPr="008D31FA">
        <w:rPr>
          <w:rFonts w:cs="HeliosBlack"/>
          <w:sz w:val="32"/>
          <w:szCs w:val="32"/>
        </w:rPr>
        <w:tab/>
        <w:t>10</w:t>
      </w:r>
    </w:p>
    <w:p w:rsidR="00F914CD" w:rsidRPr="008D31FA" w:rsidRDefault="00F914CD" w:rsidP="00F914CD">
      <w:pPr>
        <w:autoSpaceDE w:val="0"/>
        <w:autoSpaceDN w:val="0"/>
        <w:adjustRightInd w:val="0"/>
        <w:spacing w:after="0" w:line="240" w:lineRule="auto"/>
        <w:jc w:val="both"/>
        <w:rPr>
          <w:rFonts w:cs="HeliosBlack"/>
          <w:sz w:val="32"/>
          <w:szCs w:val="32"/>
        </w:rPr>
      </w:pPr>
    </w:p>
    <w:p w:rsidR="00F914CD" w:rsidRPr="008D31FA" w:rsidRDefault="00F914CD" w:rsidP="00F914CD">
      <w:pPr>
        <w:autoSpaceDE w:val="0"/>
        <w:autoSpaceDN w:val="0"/>
        <w:adjustRightInd w:val="0"/>
        <w:spacing w:after="0" w:line="240" w:lineRule="auto"/>
        <w:jc w:val="both"/>
        <w:rPr>
          <w:rFonts w:cs="HeliosBlack"/>
          <w:sz w:val="32"/>
          <w:szCs w:val="32"/>
        </w:rPr>
      </w:pPr>
      <w:r w:rsidRPr="008D31FA">
        <w:rPr>
          <w:rFonts w:cs="HeliosBlack"/>
          <w:sz w:val="32"/>
          <w:szCs w:val="32"/>
        </w:rPr>
        <w:t>The artist parodied.</w:t>
      </w:r>
      <w:r w:rsidRPr="008D31FA">
        <w:rPr>
          <w:rFonts w:cs="HeliosBlack"/>
          <w:sz w:val="32"/>
          <w:szCs w:val="32"/>
        </w:rPr>
        <w:tab/>
      </w:r>
      <w:r w:rsidRPr="008D31FA">
        <w:rPr>
          <w:rFonts w:cs="HeliosBlack"/>
          <w:sz w:val="32"/>
          <w:szCs w:val="32"/>
        </w:rPr>
        <w:tab/>
      </w:r>
      <w:r w:rsidRPr="008D31FA">
        <w:rPr>
          <w:rFonts w:cs="HeliosBlack"/>
          <w:sz w:val="32"/>
          <w:szCs w:val="32"/>
        </w:rPr>
        <w:tab/>
      </w:r>
      <w:r w:rsidRPr="008D31FA">
        <w:rPr>
          <w:rFonts w:cs="HeliosBlack"/>
          <w:sz w:val="32"/>
          <w:szCs w:val="32"/>
        </w:rPr>
        <w:tab/>
      </w:r>
      <w:r w:rsidRPr="008D31FA">
        <w:rPr>
          <w:rFonts w:cs="HeliosBlack"/>
          <w:sz w:val="32"/>
          <w:szCs w:val="32"/>
        </w:rPr>
        <w:tab/>
      </w:r>
      <w:r w:rsidRPr="008D31FA">
        <w:rPr>
          <w:rFonts w:cs="HeliosBlack"/>
          <w:sz w:val="32"/>
          <w:szCs w:val="32"/>
        </w:rPr>
        <w:tab/>
      </w:r>
      <w:r w:rsidRPr="008D31FA">
        <w:rPr>
          <w:rFonts w:cs="HeliosBlack"/>
          <w:sz w:val="32"/>
          <w:szCs w:val="32"/>
        </w:rPr>
        <w:tab/>
      </w:r>
      <w:r w:rsidRPr="008D31FA">
        <w:rPr>
          <w:rFonts w:cs="HeliosBlack"/>
          <w:sz w:val="32"/>
          <w:szCs w:val="32"/>
        </w:rPr>
        <w:tab/>
        <w:t>11-12</w:t>
      </w:r>
    </w:p>
    <w:p w:rsidR="00F914CD" w:rsidRPr="008D31FA" w:rsidRDefault="00F914CD" w:rsidP="00F914CD">
      <w:pPr>
        <w:spacing w:before="100" w:beforeAutospacing="1" w:after="100" w:afterAutospacing="1" w:line="240" w:lineRule="auto"/>
        <w:rPr>
          <w:rFonts w:eastAsia="Times New Roman" w:cs="Times New Roman"/>
          <w:sz w:val="32"/>
          <w:szCs w:val="32"/>
          <w:lang w:eastAsia="en-GB"/>
        </w:rPr>
      </w:pPr>
      <w:r w:rsidRPr="008D31FA">
        <w:rPr>
          <w:rFonts w:eastAsia="Times New Roman" w:cs="Times New Roman"/>
          <w:sz w:val="32"/>
          <w:szCs w:val="32"/>
          <w:lang w:eastAsia="en-GB"/>
        </w:rPr>
        <w:t>The artist ridiculed</w:t>
      </w:r>
      <w:r w:rsidRPr="008D31FA">
        <w:rPr>
          <w:rFonts w:eastAsia="Times New Roman" w:cs="Times New Roman"/>
          <w:sz w:val="32"/>
          <w:szCs w:val="32"/>
          <w:lang w:eastAsia="en-GB"/>
        </w:rPr>
        <w:tab/>
      </w:r>
      <w:r w:rsidRPr="008D31FA">
        <w:rPr>
          <w:rFonts w:eastAsia="Times New Roman" w:cs="Times New Roman"/>
          <w:sz w:val="32"/>
          <w:szCs w:val="32"/>
          <w:lang w:eastAsia="en-GB"/>
        </w:rPr>
        <w:tab/>
      </w:r>
      <w:r w:rsidRPr="008D31FA">
        <w:rPr>
          <w:rFonts w:eastAsia="Times New Roman" w:cs="Times New Roman"/>
          <w:sz w:val="32"/>
          <w:szCs w:val="32"/>
          <w:lang w:eastAsia="en-GB"/>
        </w:rPr>
        <w:tab/>
      </w:r>
      <w:r w:rsidRPr="008D31FA">
        <w:rPr>
          <w:rFonts w:eastAsia="Times New Roman" w:cs="Times New Roman"/>
          <w:sz w:val="32"/>
          <w:szCs w:val="32"/>
          <w:lang w:eastAsia="en-GB"/>
        </w:rPr>
        <w:tab/>
      </w:r>
      <w:r w:rsidRPr="008D31FA">
        <w:rPr>
          <w:rFonts w:eastAsia="Times New Roman" w:cs="Times New Roman"/>
          <w:sz w:val="32"/>
          <w:szCs w:val="32"/>
          <w:lang w:eastAsia="en-GB"/>
        </w:rPr>
        <w:tab/>
      </w:r>
      <w:r w:rsidRPr="008D31FA">
        <w:rPr>
          <w:rFonts w:eastAsia="Times New Roman" w:cs="Times New Roman"/>
          <w:sz w:val="32"/>
          <w:szCs w:val="32"/>
          <w:lang w:eastAsia="en-GB"/>
        </w:rPr>
        <w:tab/>
      </w:r>
      <w:r w:rsidRPr="008D31FA">
        <w:rPr>
          <w:rFonts w:eastAsia="Times New Roman" w:cs="Times New Roman"/>
          <w:sz w:val="32"/>
          <w:szCs w:val="32"/>
          <w:lang w:eastAsia="en-GB"/>
        </w:rPr>
        <w:tab/>
      </w:r>
      <w:r w:rsidRPr="008D31FA">
        <w:rPr>
          <w:rFonts w:eastAsia="Times New Roman" w:cs="Times New Roman"/>
          <w:sz w:val="32"/>
          <w:szCs w:val="32"/>
          <w:lang w:eastAsia="en-GB"/>
        </w:rPr>
        <w:tab/>
        <w:t>13-14</w:t>
      </w:r>
    </w:p>
    <w:p w:rsidR="00F914CD" w:rsidRPr="008D31FA" w:rsidRDefault="00F914CD" w:rsidP="00F914CD">
      <w:pPr>
        <w:pStyle w:val="NoSpacing"/>
        <w:rPr>
          <w:sz w:val="32"/>
          <w:szCs w:val="32"/>
        </w:rPr>
      </w:pPr>
      <w:r w:rsidRPr="008D31FA">
        <w:rPr>
          <w:sz w:val="32"/>
          <w:szCs w:val="32"/>
        </w:rPr>
        <w:t>Signatures</w:t>
      </w:r>
      <w:r w:rsidRPr="008D31FA">
        <w:rPr>
          <w:sz w:val="32"/>
          <w:szCs w:val="32"/>
        </w:rPr>
        <w:tab/>
      </w:r>
      <w:r w:rsidRPr="008D31FA">
        <w:rPr>
          <w:sz w:val="32"/>
          <w:szCs w:val="32"/>
        </w:rPr>
        <w:tab/>
      </w:r>
      <w:r w:rsidRPr="008D31FA">
        <w:rPr>
          <w:sz w:val="32"/>
          <w:szCs w:val="32"/>
        </w:rPr>
        <w:tab/>
      </w:r>
      <w:r w:rsidRPr="008D31FA">
        <w:rPr>
          <w:sz w:val="32"/>
          <w:szCs w:val="32"/>
        </w:rPr>
        <w:tab/>
      </w:r>
      <w:r w:rsidRPr="008D31FA">
        <w:rPr>
          <w:sz w:val="32"/>
          <w:szCs w:val="32"/>
        </w:rPr>
        <w:tab/>
      </w:r>
      <w:r w:rsidRPr="008D31FA">
        <w:rPr>
          <w:sz w:val="32"/>
          <w:szCs w:val="32"/>
        </w:rPr>
        <w:tab/>
      </w:r>
      <w:r w:rsidRPr="008D31FA">
        <w:rPr>
          <w:sz w:val="32"/>
          <w:szCs w:val="32"/>
        </w:rPr>
        <w:tab/>
      </w:r>
      <w:r w:rsidRPr="008D31FA">
        <w:rPr>
          <w:sz w:val="32"/>
          <w:szCs w:val="32"/>
        </w:rPr>
        <w:tab/>
      </w:r>
      <w:r w:rsidRPr="008D31FA">
        <w:rPr>
          <w:sz w:val="32"/>
          <w:szCs w:val="32"/>
        </w:rPr>
        <w:tab/>
      </w:r>
      <w:r w:rsidRPr="008D31FA">
        <w:rPr>
          <w:sz w:val="32"/>
          <w:szCs w:val="32"/>
        </w:rPr>
        <w:tab/>
        <w:t>14</w:t>
      </w:r>
    </w:p>
    <w:p w:rsidR="00F914CD" w:rsidRPr="008D31FA" w:rsidRDefault="00F914CD" w:rsidP="00F914CD">
      <w:pPr>
        <w:pStyle w:val="NoSpacing"/>
        <w:rPr>
          <w:rFonts w:eastAsia="Times New Roman" w:cs="Times New Roman"/>
          <w:sz w:val="32"/>
          <w:szCs w:val="32"/>
          <w:lang w:eastAsia="en-GB"/>
        </w:rPr>
      </w:pPr>
    </w:p>
    <w:p w:rsidR="00F914CD" w:rsidRDefault="00F914CD" w:rsidP="00F914CD">
      <w:pPr>
        <w:pStyle w:val="NoSpacing"/>
        <w:rPr>
          <w:sz w:val="32"/>
          <w:szCs w:val="32"/>
        </w:rPr>
      </w:pPr>
      <w:r w:rsidRPr="008D31FA">
        <w:rPr>
          <w:sz w:val="32"/>
          <w:szCs w:val="32"/>
        </w:rPr>
        <w:t>Denouement.</w:t>
      </w:r>
      <w:r w:rsidRPr="008D31FA">
        <w:rPr>
          <w:sz w:val="32"/>
          <w:szCs w:val="32"/>
        </w:rPr>
        <w:tab/>
      </w:r>
      <w:r w:rsidRPr="008D31FA">
        <w:rPr>
          <w:sz w:val="32"/>
          <w:szCs w:val="32"/>
        </w:rPr>
        <w:tab/>
      </w:r>
      <w:r w:rsidRPr="008D31FA">
        <w:rPr>
          <w:sz w:val="32"/>
          <w:szCs w:val="32"/>
        </w:rPr>
        <w:tab/>
      </w:r>
      <w:r w:rsidRPr="008D31FA">
        <w:rPr>
          <w:sz w:val="32"/>
          <w:szCs w:val="32"/>
        </w:rPr>
        <w:tab/>
      </w:r>
      <w:r w:rsidRPr="008D31FA">
        <w:rPr>
          <w:sz w:val="32"/>
          <w:szCs w:val="32"/>
        </w:rPr>
        <w:tab/>
      </w:r>
      <w:r w:rsidRPr="008D31FA">
        <w:rPr>
          <w:sz w:val="32"/>
          <w:szCs w:val="32"/>
        </w:rPr>
        <w:tab/>
      </w:r>
      <w:r w:rsidRPr="008D31FA">
        <w:rPr>
          <w:sz w:val="32"/>
          <w:szCs w:val="32"/>
        </w:rPr>
        <w:tab/>
      </w:r>
      <w:r w:rsidRPr="008D31FA">
        <w:rPr>
          <w:sz w:val="32"/>
          <w:szCs w:val="32"/>
        </w:rPr>
        <w:tab/>
      </w:r>
      <w:r w:rsidRPr="008D31FA">
        <w:rPr>
          <w:sz w:val="32"/>
          <w:szCs w:val="32"/>
        </w:rPr>
        <w:tab/>
        <w:t>15</w:t>
      </w:r>
    </w:p>
    <w:p w:rsidR="00F914CD" w:rsidRDefault="00F914CD" w:rsidP="00F914CD">
      <w:pPr>
        <w:pStyle w:val="NoSpacing"/>
        <w:rPr>
          <w:sz w:val="32"/>
          <w:szCs w:val="32"/>
        </w:rPr>
      </w:pPr>
    </w:p>
    <w:p w:rsidR="00F914CD" w:rsidRPr="008D31FA" w:rsidRDefault="00F914CD" w:rsidP="00F914CD">
      <w:pPr>
        <w:pStyle w:val="NoSpacing"/>
        <w:rPr>
          <w:sz w:val="32"/>
          <w:szCs w:val="32"/>
        </w:rPr>
      </w:pPr>
      <w:r>
        <w:rPr>
          <w:sz w:val="32"/>
          <w:szCs w:val="32"/>
        </w:rPr>
        <w:t>Selling aids and price</w:t>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t>15</w:t>
      </w:r>
    </w:p>
    <w:p w:rsidR="00F914CD" w:rsidRPr="008D31FA" w:rsidRDefault="00F914CD" w:rsidP="00F914CD">
      <w:pPr>
        <w:pStyle w:val="NoSpacing"/>
        <w:rPr>
          <w:rFonts w:eastAsia="MyriadPro-Regular" w:cs="MyriadPro-Regular"/>
          <w:color w:val="000000"/>
          <w:sz w:val="32"/>
          <w:szCs w:val="32"/>
        </w:rPr>
      </w:pPr>
      <w:r w:rsidRPr="008D31FA">
        <w:rPr>
          <w:rFonts w:eastAsia="MyriadPro-Regular" w:cs="MyriadPro-Regular"/>
          <w:color w:val="000000"/>
          <w:sz w:val="32"/>
          <w:szCs w:val="32"/>
        </w:rPr>
        <w:tab/>
      </w:r>
      <w:r w:rsidRPr="008D31FA">
        <w:rPr>
          <w:rFonts w:eastAsia="MyriadPro-Regular" w:cs="MyriadPro-Regular"/>
          <w:color w:val="000000"/>
          <w:sz w:val="32"/>
          <w:szCs w:val="32"/>
        </w:rPr>
        <w:tab/>
      </w:r>
      <w:r w:rsidRPr="008D31FA">
        <w:rPr>
          <w:rFonts w:eastAsia="MyriadPro-Regular" w:cs="MyriadPro-Regular"/>
          <w:color w:val="000000"/>
          <w:sz w:val="32"/>
          <w:szCs w:val="32"/>
        </w:rPr>
        <w:tab/>
      </w:r>
      <w:r w:rsidRPr="008D31FA">
        <w:rPr>
          <w:rFonts w:eastAsia="MyriadPro-Regular" w:cs="MyriadPro-Regular"/>
          <w:color w:val="000000"/>
          <w:sz w:val="32"/>
          <w:szCs w:val="32"/>
        </w:rPr>
        <w:tab/>
      </w:r>
      <w:r w:rsidRPr="008D31FA">
        <w:rPr>
          <w:rFonts w:eastAsia="MyriadPro-Regular" w:cs="MyriadPro-Regular"/>
          <w:color w:val="000000"/>
          <w:sz w:val="32"/>
          <w:szCs w:val="32"/>
        </w:rPr>
        <w:tab/>
      </w:r>
      <w:r w:rsidRPr="008D31FA">
        <w:rPr>
          <w:rFonts w:eastAsia="MyriadPro-Regular" w:cs="MyriadPro-Regular"/>
          <w:color w:val="000000"/>
          <w:sz w:val="32"/>
          <w:szCs w:val="32"/>
        </w:rPr>
        <w:tab/>
      </w:r>
      <w:r w:rsidRPr="008D31FA">
        <w:rPr>
          <w:rFonts w:eastAsia="MyriadPro-Regular" w:cs="MyriadPro-Regular"/>
          <w:color w:val="000000"/>
          <w:sz w:val="32"/>
          <w:szCs w:val="32"/>
        </w:rPr>
        <w:tab/>
      </w:r>
      <w:r w:rsidRPr="008D31FA">
        <w:rPr>
          <w:rFonts w:eastAsia="MyriadPro-Regular" w:cs="MyriadPro-Regular"/>
          <w:color w:val="000000"/>
          <w:sz w:val="32"/>
          <w:szCs w:val="32"/>
        </w:rPr>
        <w:tab/>
      </w:r>
      <w:r w:rsidRPr="008D31FA">
        <w:rPr>
          <w:rFonts w:eastAsia="MyriadPro-Regular" w:cs="MyriadPro-Regular"/>
          <w:color w:val="000000"/>
          <w:sz w:val="32"/>
          <w:szCs w:val="32"/>
        </w:rPr>
        <w:tab/>
      </w:r>
      <w:r w:rsidRPr="008D31FA">
        <w:rPr>
          <w:rFonts w:eastAsia="MyriadPro-Regular" w:cs="MyriadPro-Regular"/>
          <w:color w:val="000000"/>
          <w:sz w:val="32"/>
          <w:szCs w:val="32"/>
        </w:rPr>
        <w:tab/>
      </w:r>
      <w:r w:rsidRPr="008D31FA">
        <w:rPr>
          <w:rFonts w:eastAsia="MyriadPro-Regular" w:cs="MyriadPro-Regular"/>
          <w:color w:val="000000"/>
          <w:sz w:val="32"/>
          <w:szCs w:val="32"/>
        </w:rPr>
        <w:tab/>
      </w:r>
      <w:r w:rsidRPr="008D31FA">
        <w:rPr>
          <w:rFonts w:eastAsia="MyriadPro-Regular" w:cs="MyriadPro-Regular"/>
          <w:color w:val="000000"/>
          <w:sz w:val="32"/>
          <w:szCs w:val="32"/>
        </w:rPr>
        <w:tab/>
      </w:r>
    </w:p>
    <w:p w:rsidR="00F914CD" w:rsidRPr="008D31FA" w:rsidRDefault="00F914CD" w:rsidP="00F914CD">
      <w:pPr>
        <w:pStyle w:val="NoSpacing"/>
        <w:jc w:val="both"/>
        <w:rPr>
          <w:sz w:val="32"/>
          <w:szCs w:val="32"/>
        </w:rPr>
      </w:pPr>
      <w:r w:rsidRPr="008D31FA">
        <w:rPr>
          <w:sz w:val="32"/>
          <w:szCs w:val="32"/>
        </w:rPr>
        <w:t>Conclusions</w:t>
      </w:r>
      <w:r w:rsidRPr="008D31FA">
        <w:rPr>
          <w:sz w:val="32"/>
          <w:szCs w:val="32"/>
        </w:rPr>
        <w:tab/>
      </w:r>
      <w:r w:rsidRPr="008D31FA">
        <w:rPr>
          <w:sz w:val="32"/>
          <w:szCs w:val="32"/>
        </w:rPr>
        <w:tab/>
      </w:r>
      <w:r w:rsidRPr="008D31FA">
        <w:rPr>
          <w:sz w:val="32"/>
          <w:szCs w:val="32"/>
        </w:rPr>
        <w:tab/>
      </w:r>
      <w:r w:rsidRPr="008D31FA">
        <w:rPr>
          <w:sz w:val="32"/>
          <w:szCs w:val="32"/>
        </w:rPr>
        <w:tab/>
      </w:r>
      <w:r w:rsidRPr="008D31FA">
        <w:rPr>
          <w:sz w:val="32"/>
          <w:szCs w:val="32"/>
        </w:rPr>
        <w:tab/>
      </w:r>
      <w:r w:rsidRPr="008D31FA">
        <w:rPr>
          <w:sz w:val="32"/>
          <w:szCs w:val="32"/>
        </w:rPr>
        <w:tab/>
      </w:r>
      <w:r w:rsidRPr="008D31FA">
        <w:rPr>
          <w:sz w:val="32"/>
          <w:szCs w:val="32"/>
        </w:rPr>
        <w:tab/>
      </w:r>
      <w:r w:rsidRPr="008D31FA">
        <w:rPr>
          <w:sz w:val="32"/>
          <w:szCs w:val="32"/>
        </w:rPr>
        <w:tab/>
      </w:r>
      <w:r w:rsidRPr="008D31FA">
        <w:rPr>
          <w:sz w:val="32"/>
          <w:szCs w:val="32"/>
        </w:rPr>
        <w:tab/>
        <w:t>15</w:t>
      </w:r>
    </w:p>
    <w:p w:rsidR="00F914CD" w:rsidRPr="008D31FA" w:rsidRDefault="00F914CD" w:rsidP="00F914CD">
      <w:pPr>
        <w:pStyle w:val="NoSpacing"/>
        <w:jc w:val="both"/>
        <w:rPr>
          <w:sz w:val="32"/>
          <w:szCs w:val="32"/>
        </w:rPr>
      </w:pPr>
    </w:p>
    <w:p w:rsidR="00F914CD" w:rsidRDefault="00F914CD" w:rsidP="00F914CD">
      <w:pPr>
        <w:rPr>
          <w:rFonts w:cs="HeliosBlack"/>
          <w:b/>
          <w:sz w:val="24"/>
          <w:szCs w:val="24"/>
          <w:u w:val="single"/>
        </w:rPr>
      </w:pPr>
      <w:r>
        <w:rPr>
          <w:rFonts w:cs="HeliosBlack"/>
          <w:b/>
          <w:sz w:val="24"/>
          <w:szCs w:val="24"/>
          <w:u w:val="single"/>
        </w:rPr>
        <w:br w:type="page"/>
      </w:r>
    </w:p>
    <w:p w:rsidR="00F914CD" w:rsidRDefault="00F914CD" w:rsidP="00F914CD">
      <w:pPr>
        <w:autoSpaceDE w:val="0"/>
        <w:autoSpaceDN w:val="0"/>
        <w:adjustRightInd w:val="0"/>
        <w:spacing w:after="0" w:line="240" w:lineRule="auto"/>
        <w:jc w:val="both"/>
        <w:rPr>
          <w:rFonts w:cs="HeliosBlack"/>
          <w:b/>
          <w:sz w:val="24"/>
          <w:szCs w:val="24"/>
          <w:u w:val="single"/>
        </w:rPr>
      </w:pPr>
      <w:r>
        <w:rPr>
          <w:rFonts w:cs="HeliosBlack"/>
          <w:b/>
          <w:sz w:val="24"/>
          <w:szCs w:val="24"/>
          <w:u w:val="single"/>
        </w:rPr>
        <w:lastRenderedPageBreak/>
        <w:t>Natalia Goncharova. ‘Discoveries’</w:t>
      </w:r>
    </w:p>
    <w:p w:rsidR="00F914CD" w:rsidRDefault="00F914CD" w:rsidP="00F914CD">
      <w:pPr>
        <w:autoSpaceDE w:val="0"/>
        <w:autoSpaceDN w:val="0"/>
        <w:adjustRightInd w:val="0"/>
        <w:spacing w:after="0" w:line="240" w:lineRule="auto"/>
        <w:jc w:val="both"/>
        <w:rPr>
          <w:rFonts w:cs="HeliosBlack"/>
          <w:b/>
          <w:sz w:val="24"/>
          <w:szCs w:val="24"/>
          <w:u w:val="single"/>
        </w:rPr>
      </w:pPr>
    </w:p>
    <w:p w:rsidR="00F914CD" w:rsidRPr="00B60379" w:rsidRDefault="00F914CD" w:rsidP="00F914CD">
      <w:pPr>
        <w:autoSpaceDE w:val="0"/>
        <w:autoSpaceDN w:val="0"/>
        <w:adjustRightInd w:val="0"/>
        <w:spacing w:after="0" w:line="240" w:lineRule="auto"/>
        <w:jc w:val="both"/>
        <w:rPr>
          <w:rFonts w:cs="HeliosBlack"/>
          <w:b/>
          <w:sz w:val="24"/>
          <w:szCs w:val="24"/>
          <w:u w:val="single"/>
        </w:rPr>
      </w:pPr>
      <w:r>
        <w:rPr>
          <w:rFonts w:cs="HeliosBlack"/>
          <w:b/>
          <w:sz w:val="24"/>
          <w:szCs w:val="24"/>
          <w:u w:val="single"/>
        </w:rPr>
        <w:t>Introduction</w:t>
      </w:r>
      <w:r w:rsidRPr="00B60379">
        <w:rPr>
          <w:rFonts w:cs="HeliosBlack"/>
          <w:b/>
          <w:sz w:val="24"/>
          <w:szCs w:val="24"/>
          <w:u w:val="single"/>
        </w:rPr>
        <w:t>.</w:t>
      </w:r>
    </w:p>
    <w:p w:rsidR="00F914CD" w:rsidRDefault="00F914CD" w:rsidP="00F914CD">
      <w:pPr>
        <w:pStyle w:val="NoSpacing"/>
        <w:jc w:val="both"/>
        <w:rPr>
          <w:sz w:val="24"/>
          <w:szCs w:val="24"/>
        </w:rPr>
      </w:pPr>
    </w:p>
    <w:p w:rsidR="00F914CD" w:rsidRDefault="00F914CD" w:rsidP="00F914CD">
      <w:pPr>
        <w:pStyle w:val="NoSpacing"/>
        <w:jc w:val="both"/>
        <w:rPr>
          <w:sz w:val="24"/>
          <w:szCs w:val="24"/>
        </w:rPr>
      </w:pPr>
      <w:r w:rsidRPr="00BE12EF">
        <w:rPr>
          <w:sz w:val="24"/>
          <w:szCs w:val="24"/>
        </w:rPr>
        <w:t xml:space="preserve">In June 2013 German police </w:t>
      </w:r>
      <w:r>
        <w:rPr>
          <w:sz w:val="24"/>
          <w:szCs w:val="24"/>
        </w:rPr>
        <w:t>broke up</w:t>
      </w:r>
      <w:r w:rsidRPr="00BE12EF">
        <w:rPr>
          <w:sz w:val="24"/>
          <w:szCs w:val="24"/>
        </w:rPr>
        <w:t xml:space="preserve"> a </w:t>
      </w:r>
      <w:r>
        <w:rPr>
          <w:sz w:val="24"/>
          <w:szCs w:val="24"/>
        </w:rPr>
        <w:t xml:space="preserve">major </w:t>
      </w:r>
      <w:r w:rsidRPr="00BE12EF">
        <w:rPr>
          <w:sz w:val="24"/>
          <w:szCs w:val="24"/>
        </w:rPr>
        <w:t xml:space="preserve">faking ring </w:t>
      </w:r>
      <w:r>
        <w:rPr>
          <w:sz w:val="24"/>
          <w:szCs w:val="24"/>
        </w:rPr>
        <w:t>and seized</w:t>
      </w:r>
      <w:r w:rsidRPr="00BE12EF">
        <w:rPr>
          <w:sz w:val="24"/>
          <w:szCs w:val="24"/>
        </w:rPr>
        <w:t xml:space="preserve"> </w:t>
      </w:r>
      <w:r>
        <w:rPr>
          <w:sz w:val="24"/>
          <w:szCs w:val="24"/>
        </w:rPr>
        <w:t>1,000</w:t>
      </w:r>
      <w:r w:rsidRPr="00BE12EF">
        <w:rPr>
          <w:sz w:val="24"/>
          <w:szCs w:val="24"/>
        </w:rPr>
        <w:t xml:space="preserve"> </w:t>
      </w:r>
      <w:r>
        <w:rPr>
          <w:sz w:val="24"/>
          <w:szCs w:val="24"/>
        </w:rPr>
        <w:t>paintings purported to be by the major Russian avant garde artists, including Kandinsky, Malevich, Exter, Popova and the most expensive female artist at auction, Natalia Goncharova.</w:t>
      </w:r>
    </w:p>
    <w:p w:rsidR="00F914CD" w:rsidRDefault="00F914CD" w:rsidP="00F914CD">
      <w:pPr>
        <w:pStyle w:val="NoSpacing"/>
        <w:jc w:val="both"/>
        <w:rPr>
          <w:sz w:val="24"/>
          <w:szCs w:val="24"/>
        </w:rPr>
      </w:pPr>
    </w:p>
    <w:p w:rsidR="00F914CD" w:rsidRPr="00BE12EF" w:rsidRDefault="00F914CD" w:rsidP="00F914CD">
      <w:pPr>
        <w:pStyle w:val="NoSpacing"/>
        <w:jc w:val="both"/>
        <w:rPr>
          <w:sz w:val="24"/>
          <w:szCs w:val="24"/>
        </w:rPr>
      </w:pPr>
      <w:r w:rsidRPr="00BE12EF">
        <w:rPr>
          <w:sz w:val="24"/>
          <w:szCs w:val="24"/>
        </w:rPr>
        <w:t>In this document, the International Confederation of</w:t>
      </w:r>
      <w:r>
        <w:rPr>
          <w:sz w:val="24"/>
          <w:szCs w:val="24"/>
        </w:rPr>
        <w:t xml:space="preserve"> Antique &amp;</w:t>
      </w:r>
      <w:r w:rsidRPr="00BE12EF">
        <w:rPr>
          <w:sz w:val="24"/>
          <w:szCs w:val="24"/>
        </w:rPr>
        <w:t xml:space="preserve"> Art Dealers</w:t>
      </w:r>
      <w:r>
        <w:rPr>
          <w:sz w:val="24"/>
          <w:szCs w:val="24"/>
        </w:rPr>
        <w:t xml:space="preserve"> of Russian and the CIS (ICAAD)</w:t>
      </w:r>
      <w:r w:rsidRPr="00BE12EF">
        <w:rPr>
          <w:sz w:val="24"/>
          <w:szCs w:val="24"/>
        </w:rPr>
        <w:t xml:space="preserve"> together with leading Russian specialists, museum directors and collectors wish to bring the attention of the wider public </w:t>
      </w:r>
      <w:r>
        <w:rPr>
          <w:sz w:val="24"/>
          <w:szCs w:val="24"/>
        </w:rPr>
        <w:t xml:space="preserve">this </w:t>
      </w:r>
      <w:r w:rsidRPr="00BE12EF">
        <w:rPr>
          <w:sz w:val="24"/>
          <w:szCs w:val="24"/>
        </w:rPr>
        <w:t xml:space="preserve">systematic faking of work by </w:t>
      </w:r>
      <w:r>
        <w:rPr>
          <w:sz w:val="24"/>
          <w:szCs w:val="24"/>
        </w:rPr>
        <w:t xml:space="preserve">Goncharova and to protect her legacy. </w:t>
      </w:r>
    </w:p>
    <w:p w:rsidR="00F914CD" w:rsidRPr="00BE12EF" w:rsidRDefault="00F914CD" w:rsidP="00F914CD">
      <w:pPr>
        <w:pStyle w:val="NoSpacing"/>
        <w:jc w:val="both"/>
        <w:rPr>
          <w:sz w:val="24"/>
          <w:szCs w:val="24"/>
        </w:rPr>
      </w:pPr>
    </w:p>
    <w:p w:rsidR="00F914CD" w:rsidRDefault="00F914CD" w:rsidP="00F914CD">
      <w:pPr>
        <w:pStyle w:val="NoSpacing"/>
        <w:jc w:val="center"/>
        <w:rPr>
          <w:sz w:val="24"/>
          <w:szCs w:val="24"/>
        </w:rPr>
      </w:pPr>
      <w:r w:rsidRPr="00BE12EF">
        <w:rPr>
          <w:noProof/>
          <w:sz w:val="24"/>
          <w:szCs w:val="24"/>
          <w:lang w:eastAsia="en-GB"/>
        </w:rPr>
        <w:drawing>
          <wp:inline distT="0" distB="0" distL="0" distR="0" wp14:anchorId="02FD0AB4" wp14:editId="40904C05">
            <wp:extent cx="1621766" cy="2268747"/>
            <wp:effectExtent l="0" t="0" r="0" b="0"/>
            <wp:docPr id="5" name="Picture 5" descr="C:\Users\James Butterwick\Pictures\Fakes lecture\img183.jpg"/>
            <wp:cNvGraphicFramePr/>
            <a:graphic xmlns:a="http://schemas.openxmlformats.org/drawingml/2006/main">
              <a:graphicData uri="http://schemas.openxmlformats.org/drawingml/2006/picture">
                <pic:pic xmlns:pic="http://schemas.openxmlformats.org/drawingml/2006/picture">
                  <pic:nvPicPr>
                    <pic:cNvPr id="5" name="Picture 5" descr="C:\Users\James Butterwick\Pictures\Fakes lecture\img183.jpg"/>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627165" cy="2276300"/>
                    </a:xfrm>
                    <a:prstGeom prst="rect">
                      <a:avLst/>
                    </a:prstGeom>
                    <a:noFill/>
                    <a:ln>
                      <a:noFill/>
                    </a:ln>
                  </pic:spPr>
                </pic:pic>
              </a:graphicData>
            </a:graphic>
          </wp:inline>
        </w:drawing>
      </w:r>
    </w:p>
    <w:p w:rsidR="00F914CD" w:rsidRPr="00BE12EF" w:rsidRDefault="00F914CD" w:rsidP="00F914CD">
      <w:pPr>
        <w:pStyle w:val="NoSpacing"/>
        <w:jc w:val="both"/>
        <w:rPr>
          <w:sz w:val="24"/>
          <w:szCs w:val="24"/>
        </w:rPr>
      </w:pPr>
    </w:p>
    <w:p w:rsidR="00F914CD" w:rsidRDefault="00F914CD" w:rsidP="00F914CD">
      <w:pPr>
        <w:pStyle w:val="NoSpacing"/>
        <w:jc w:val="both"/>
        <w:rPr>
          <w:sz w:val="24"/>
          <w:szCs w:val="24"/>
        </w:rPr>
      </w:pPr>
      <w:r>
        <w:rPr>
          <w:sz w:val="24"/>
          <w:szCs w:val="24"/>
        </w:rPr>
        <w:t>W</w:t>
      </w:r>
      <w:r w:rsidRPr="00BE12EF">
        <w:rPr>
          <w:sz w:val="24"/>
          <w:szCs w:val="24"/>
        </w:rPr>
        <w:t>ith a major retrospective o</w:t>
      </w:r>
      <w:r>
        <w:rPr>
          <w:sz w:val="24"/>
          <w:szCs w:val="24"/>
        </w:rPr>
        <w:t xml:space="preserve">f the artist </w:t>
      </w:r>
      <w:r>
        <w:rPr>
          <w:sz w:val="24"/>
          <w:szCs w:val="24"/>
        </w:rPr>
        <w:t>having</w:t>
      </w:r>
      <w:r>
        <w:rPr>
          <w:sz w:val="24"/>
          <w:szCs w:val="24"/>
        </w:rPr>
        <w:t xml:space="preserve"> open</w:t>
      </w:r>
      <w:r>
        <w:rPr>
          <w:sz w:val="24"/>
          <w:szCs w:val="24"/>
        </w:rPr>
        <w:t>ed at the Tretyakov Gallery</w:t>
      </w:r>
      <w:bookmarkStart w:id="0" w:name="_GoBack"/>
      <w:bookmarkEnd w:id="0"/>
      <w:r>
        <w:rPr>
          <w:sz w:val="24"/>
          <w:szCs w:val="24"/>
        </w:rPr>
        <w:t xml:space="preserve"> in Moscow o</w:t>
      </w:r>
      <w:r w:rsidRPr="00BE12EF">
        <w:rPr>
          <w:sz w:val="24"/>
          <w:szCs w:val="24"/>
        </w:rPr>
        <w:t>n October</w:t>
      </w:r>
      <w:r>
        <w:rPr>
          <w:sz w:val="24"/>
          <w:szCs w:val="24"/>
        </w:rPr>
        <w:t xml:space="preserve"> 15th</w:t>
      </w:r>
      <w:r w:rsidRPr="00BE12EF">
        <w:rPr>
          <w:sz w:val="24"/>
          <w:szCs w:val="24"/>
        </w:rPr>
        <w:t>, we believe that the time is right to close the debate once and for all regarding hundreds of ‘new’ paintings by Goncharova, all given credence and purported authenticity with their reproduction in</w:t>
      </w:r>
      <w:r>
        <w:rPr>
          <w:sz w:val="24"/>
          <w:szCs w:val="24"/>
        </w:rPr>
        <w:t xml:space="preserve"> two</w:t>
      </w:r>
      <w:r w:rsidRPr="00BE12EF">
        <w:rPr>
          <w:sz w:val="24"/>
          <w:szCs w:val="24"/>
        </w:rPr>
        <w:t xml:space="preserve"> monographs on the artist by misguided Western scholars</w:t>
      </w:r>
      <w:r>
        <w:rPr>
          <w:sz w:val="24"/>
          <w:szCs w:val="24"/>
        </w:rPr>
        <w:t xml:space="preserve"> and the author’s subsequent protection by a UK-based convention of long-since discredited historians of Russian Art</w:t>
      </w:r>
      <w:r w:rsidRPr="00BE12EF">
        <w:rPr>
          <w:sz w:val="24"/>
          <w:szCs w:val="24"/>
        </w:rPr>
        <w:t>.</w:t>
      </w:r>
    </w:p>
    <w:p w:rsidR="00F914CD" w:rsidRPr="00BE12EF" w:rsidRDefault="00F914CD" w:rsidP="00F914CD">
      <w:pPr>
        <w:pStyle w:val="NoSpacing"/>
        <w:jc w:val="center"/>
        <w:rPr>
          <w:sz w:val="24"/>
          <w:szCs w:val="24"/>
        </w:rPr>
      </w:pPr>
    </w:p>
    <w:p w:rsidR="00F914CD" w:rsidRDefault="00F914CD" w:rsidP="00F914CD">
      <w:pPr>
        <w:pStyle w:val="NoSpacing"/>
        <w:jc w:val="center"/>
        <w:rPr>
          <w:sz w:val="24"/>
          <w:szCs w:val="24"/>
        </w:rPr>
      </w:pPr>
      <w:r>
        <w:rPr>
          <w:noProof/>
          <w:lang w:eastAsia="en-GB"/>
        </w:rPr>
        <w:drawing>
          <wp:inline distT="0" distB="0" distL="0" distR="0" wp14:anchorId="4B1A4055" wp14:editId="4922DC56">
            <wp:extent cx="1863306" cy="2570672"/>
            <wp:effectExtent l="0" t="0" r="3810" b="1270"/>
            <wp:docPr id="4" name="Picture 4" descr="C:\Users\James Butterwick\Pictures\Fakes lecture\img182.jpg"/>
            <wp:cNvGraphicFramePr/>
            <a:graphic xmlns:a="http://schemas.openxmlformats.org/drawingml/2006/main">
              <a:graphicData uri="http://schemas.openxmlformats.org/drawingml/2006/picture">
                <pic:pic xmlns:pic="http://schemas.openxmlformats.org/drawingml/2006/picture">
                  <pic:nvPicPr>
                    <pic:cNvPr id="4" name="Picture 4" descr="C:\Users\James Butterwick\Pictures\Fakes lecture\img182.jpg"/>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869509" cy="2579230"/>
                    </a:xfrm>
                    <a:prstGeom prst="rect">
                      <a:avLst/>
                    </a:prstGeom>
                    <a:noFill/>
                    <a:ln>
                      <a:noFill/>
                    </a:ln>
                  </pic:spPr>
                </pic:pic>
              </a:graphicData>
            </a:graphic>
          </wp:inline>
        </w:drawing>
      </w:r>
    </w:p>
    <w:p w:rsidR="00F914CD" w:rsidRPr="00BE12EF" w:rsidRDefault="00F914CD" w:rsidP="00F914CD">
      <w:pPr>
        <w:pStyle w:val="NoSpacing"/>
        <w:jc w:val="center"/>
        <w:rPr>
          <w:sz w:val="24"/>
          <w:szCs w:val="24"/>
        </w:rPr>
      </w:pPr>
    </w:p>
    <w:p w:rsidR="00F914CD" w:rsidRPr="00DC3DF0" w:rsidRDefault="00F914CD" w:rsidP="00F914CD">
      <w:pPr>
        <w:pStyle w:val="NoSpacing"/>
        <w:jc w:val="center"/>
        <w:rPr>
          <w:b/>
          <w:i/>
          <w:sz w:val="28"/>
          <w:szCs w:val="28"/>
        </w:rPr>
      </w:pPr>
      <w:r w:rsidRPr="00DC3DF0">
        <w:rPr>
          <w:b/>
          <w:i/>
          <w:sz w:val="28"/>
          <w:szCs w:val="28"/>
        </w:rPr>
        <w:t>“Imagine. In Moscow a monograph is written on William Turner by a Russian art historian and within its pages are reproduced tens of new works, previously unknown both to a wider public and to specialists by the great Englishman. Imagine the battle between English museums to be first in the queue to buy these paintings. A sensation”.</w:t>
      </w:r>
    </w:p>
    <w:p w:rsidR="00F914CD" w:rsidRDefault="00F914CD" w:rsidP="00F914CD">
      <w:pPr>
        <w:pStyle w:val="NoSpacing"/>
        <w:jc w:val="center"/>
        <w:rPr>
          <w:rFonts w:cs="Helios"/>
          <w:b/>
          <w:i/>
          <w:color w:val="000000"/>
          <w:sz w:val="28"/>
          <w:szCs w:val="28"/>
        </w:rPr>
      </w:pPr>
      <w:r w:rsidRPr="00DC3DF0">
        <w:rPr>
          <w:rFonts w:cs="Helios"/>
          <w:b/>
          <w:i/>
          <w:color w:val="000000"/>
          <w:sz w:val="28"/>
          <w:szCs w:val="28"/>
        </w:rPr>
        <w:t xml:space="preserve">Andrei Sarabianov, ‘The Alternative Goncharova’. </w:t>
      </w:r>
    </w:p>
    <w:p w:rsidR="00F914CD" w:rsidRPr="00DC3DF0" w:rsidRDefault="00F914CD" w:rsidP="00F914CD">
      <w:pPr>
        <w:pStyle w:val="NoSpacing"/>
        <w:jc w:val="center"/>
        <w:rPr>
          <w:b/>
          <w:i/>
          <w:sz w:val="28"/>
          <w:szCs w:val="28"/>
        </w:rPr>
      </w:pPr>
      <w:r w:rsidRPr="00DC3DF0">
        <w:rPr>
          <w:rFonts w:cs="Helios"/>
          <w:b/>
          <w:i/>
          <w:color w:val="000000"/>
          <w:sz w:val="28"/>
          <w:szCs w:val="28"/>
        </w:rPr>
        <w:t>Artchronika magazine No. 2011</w:t>
      </w:r>
    </w:p>
    <w:p w:rsidR="00F914CD" w:rsidRDefault="00F914CD" w:rsidP="00F914CD">
      <w:pPr>
        <w:autoSpaceDE w:val="0"/>
        <w:autoSpaceDN w:val="0"/>
        <w:adjustRightInd w:val="0"/>
        <w:spacing w:after="0" w:line="240" w:lineRule="auto"/>
        <w:jc w:val="both"/>
        <w:rPr>
          <w:rFonts w:cs="HeliosBlack"/>
          <w:b/>
          <w:i/>
          <w:color w:val="00B050"/>
          <w:sz w:val="24"/>
          <w:szCs w:val="24"/>
        </w:rPr>
      </w:pPr>
    </w:p>
    <w:p w:rsidR="00F914CD" w:rsidRPr="00B60379" w:rsidRDefault="00F914CD" w:rsidP="00F914CD">
      <w:pPr>
        <w:autoSpaceDE w:val="0"/>
        <w:autoSpaceDN w:val="0"/>
        <w:adjustRightInd w:val="0"/>
        <w:spacing w:after="0" w:line="240" w:lineRule="auto"/>
        <w:jc w:val="both"/>
        <w:rPr>
          <w:rFonts w:cs="HeliosBlack"/>
          <w:b/>
          <w:sz w:val="24"/>
          <w:szCs w:val="24"/>
          <w:u w:val="single"/>
        </w:rPr>
      </w:pPr>
      <w:r>
        <w:rPr>
          <w:rFonts w:cs="HeliosBlack"/>
          <w:b/>
          <w:sz w:val="24"/>
          <w:szCs w:val="24"/>
          <w:u w:val="single"/>
        </w:rPr>
        <w:t>B</w:t>
      </w:r>
      <w:r w:rsidRPr="00B60379">
        <w:rPr>
          <w:rFonts w:cs="HeliosBlack"/>
          <w:b/>
          <w:sz w:val="24"/>
          <w:szCs w:val="24"/>
          <w:u w:val="single"/>
        </w:rPr>
        <w:t>ackground.</w:t>
      </w:r>
    </w:p>
    <w:p w:rsidR="00F914CD" w:rsidRPr="00504D79" w:rsidRDefault="00F914CD" w:rsidP="00F914CD">
      <w:pPr>
        <w:autoSpaceDE w:val="0"/>
        <w:autoSpaceDN w:val="0"/>
        <w:adjustRightInd w:val="0"/>
        <w:spacing w:after="0" w:line="240" w:lineRule="auto"/>
        <w:jc w:val="both"/>
        <w:rPr>
          <w:rFonts w:cs="Helios"/>
          <w:color w:val="000000"/>
          <w:sz w:val="24"/>
          <w:szCs w:val="24"/>
        </w:rPr>
      </w:pPr>
    </w:p>
    <w:p w:rsidR="00F914CD" w:rsidRPr="00504D79" w:rsidRDefault="00F914CD" w:rsidP="00F914CD">
      <w:pPr>
        <w:autoSpaceDE w:val="0"/>
        <w:autoSpaceDN w:val="0"/>
        <w:adjustRightInd w:val="0"/>
        <w:spacing w:after="0" w:line="240" w:lineRule="auto"/>
        <w:jc w:val="both"/>
        <w:rPr>
          <w:rFonts w:cs="Helios"/>
          <w:color w:val="000000"/>
          <w:sz w:val="24"/>
          <w:szCs w:val="24"/>
        </w:rPr>
      </w:pPr>
      <w:r w:rsidRPr="00504D79">
        <w:rPr>
          <w:rFonts w:cs="Helios"/>
          <w:color w:val="000000"/>
          <w:sz w:val="24"/>
          <w:szCs w:val="24"/>
        </w:rPr>
        <w:t>Natalia Goncharova is one of the greatest artists of Russia, an innovator, a revolutionary and, according to auction sales data, now the world’s most expensive female artist with prices up to $10,000,000.</w:t>
      </w:r>
    </w:p>
    <w:p w:rsidR="00F914CD" w:rsidRPr="00504D79" w:rsidRDefault="00F914CD" w:rsidP="00F914CD">
      <w:pPr>
        <w:autoSpaceDE w:val="0"/>
        <w:autoSpaceDN w:val="0"/>
        <w:adjustRightInd w:val="0"/>
        <w:spacing w:after="0" w:line="240" w:lineRule="auto"/>
        <w:jc w:val="both"/>
        <w:rPr>
          <w:rFonts w:cs="Helios"/>
          <w:color w:val="000000"/>
          <w:sz w:val="24"/>
          <w:szCs w:val="24"/>
        </w:rPr>
      </w:pPr>
    </w:p>
    <w:p w:rsidR="00F914CD" w:rsidRPr="00504D79" w:rsidRDefault="00F914CD" w:rsidP="00F914CD">
      <w:pPr>
        <w:autoSpaceDE w:val="0"/>
        <w:autoSpaceDN w:val="0"/>
        <w:adjustRightInd w:val="0"/>
        <w:spacing w:after="0" w:line="240" w:lineRule="auto"/>
        <w:jc w:val="both"/>
        <w:rPr>
          <w:rFonts w:cs="Helios"/>
          <w:color w:val="000000"/>
          <w:sz w:val="24"/>
          <w:szCs w:val="24"/>
        </w:rPr>
      </w:pPr>
      <w:r w:rsidRPr="00504D79">
        <w:rPr>
          <w:rFonts w:cs="Helios"/>
          <w:color w:val="000000"/>
          <w:sz w:val="24"/>
          <w:szCs w:val="24"/>
        </w:rPr>
        <w:t>In October 2010 and March 2011 two illustrated monographs about Goncha</w:t>
      </w:r>
      <w:r>
        <w:rPr>
          <w:rFonts w:cs="Helios"/>
          <w:color w:val="000000"/>
          <w:sz w:val="24"/>
          <w:szCs w:val="24"/>
        </w:rPr>
        <w:t xml:space="preserve">rova were published in the West, </w:t>
      </w:r>
      <w:r w:rsidRPr="00504D79">
        <w:rPr>
          <w:rFonts w:cs="Helios"/>
          <w:color w:val="000000"/>
          <w:sz w:val="24"/>
          <w:szCs w:val="24"/>
        </w:rPr>
        <w:t>‘Goncharova. The Art and Design of Natalia Goncharova’ by Anthony</w:t>
      </w:r>
      <w:r>
        <w:rPr>
          <w:rFonts w:cs="Helios"/>
          <w:color w:val="000000"/>
          <w:sz w:val="24"/>
          <w:szCs w:val="24"/>
        </w:rPr>
        <w:t xml:space="preserve"> Parton and the first volume of, </w:t>
      </w:r>
      <w:r w:rsidRPr="00504D79">
        <w:rPr>
          <w:rFonts w:cs="Helios"/>
          <w:color w:val="000000"/>
          <w:sz w:val="24"/>
          <w:szCs w:val="24"/>
        </w:rPr>
        <w:t>‘Natalia Goncharova</w:t>
      </w:r>
      <w:r>
        <w:rPr>
          <w:rFonts w:cs="Helios"/>
          <w:color w:val="000000"/>
          <w:sz w:val="24"/>
          <w:szCs w:val="24"/>
        </w:rPr>
        <w:t>. H</w:t>
      </w:r>
      <w:r w:rsidRPr="00504D79">
        <w:rPr>
          <w:rFonts w:cs="Helios"/>
          <w:color w:val="000000"/>
          <w:sz w:val="24"/>
          <w:szCs w:val="24"/>
        </w:rPr>
        <w:t>er oeuvre, between tradition and modernity’, by Denise Bazetoux.</w:t>
      </w:r>
    </w:p>
    <w:p w:rsidR="00F914CD" w:rsidRPr="00504D79" w:rsidRDefault="00F914CD" w:rsidP="00F914CD">
      <w:pPr>
        <w:autoSpaceDE w:val="0"/>
        <w:autoSpaceDN w:val="0"/>
        <w:adjustRightInd w:val="0"/>
        <w:spacing w:after="0" w:line="240" w:lineRule="auto"/>
        <w:jc w:val="both"/>
        <w:rPr>
          <w:rFonts w:cs="Helios"/>
          <w:color w:val="000000"/>
          <w:sz w:val="24"/>
          <w:szCs w:val="24"/>
        </w:rPr>
      </w:pPr>
    </w:p>
    <w:p w:rsidR="00F914CD" w:rsidRPr="00504D79" w:rsidRDefault="00F914CD" w:rsidP="00F914CD">
      <w:pPr>
        <w:autoSpaceDE w:val="0"/>
        <w:autoSpaceDN w:val="0"/>
        <w:adjustRightInd w:val="0"/>
        <w:spacing w:after="0" w:line="240" w:lineRule="auto"/>
        <w:jc w:val="both"/>
        <w:rPr>
          <w:sz w:val="24"/>
          <w:szCs w:val="24"/>
        </w:rPr>
      </w:pPr>
      <w:r w:rsidRPr="00504D79">
        <w:rPr>
          <w:rFonts w:cs="Helios"/>
          <w:color w:val="000000"/>
          <w:sz w:val="24"/>
          <w:szCs w:val="24"/>
        </w:rPr>
        <w:t>Whilst, normally, the attention of Western art historians to work by this Amazon of the Russian avant-garde and the popularization of her heritage would be welcomed, the</w:t>
      </w:r>
      <w:r>
        <w:rPr>
          <w:rFonts w:cs="Helios"/>
          <w:color w:val="000000"/>
          <w:sz w:val="24"/>
          <w:szCs w:val="24"/>
        </w:rPr>
        <w:t>se</w:t>
      </w:r>
      <w:r w:rsidRPr="00504D79">
        <w:rPr>
          <w:rFonts w:cs="Helios"/>
          <w:color w:val="000000"/>
          <w:sz w:val="24"/>
          <w:szCs w:val="24"/>
        </w:rPr>
        <w:t xml:space="preserve"> books by Part</w:t>
      </w:r>
      <w:r>
        <w:rPr>
          <w:rFonts w:cs="Helios"/>
          <w:color w:val="000000"/>
          <w:sz w:val="24"/>
          <w:szCs w:val="24"/>
        </w:rPr>
        <w:t>on and Bazetoux saw reproduced, next to the well-known masterpieces and</w:t>
      </w:r>
      <w:r w:rsidRPr="00504D79">
        <w:rPr>
          <w:rFonts w:cs="Helios"/>
          <w:color w:val="000000"/>
          <w:sz w:val="24"/>
          <w:szCs w:val="24"/>
        </w:rPr>
        <w:t xml:space="preserve"> for the first time, hundreds of previously unknown</w:t>
      </w:r>
      <w:r>
        <w:rPr>
          <w:rFonts w:cs="Helios"/>
          <w:color w:val="000000"/>
          <w:sz w:val="24"/>
          <w:szCs w:val="24"/>
        </w:rPr>
        <w:t xml:space="preserve"> paintings</w:t>
      </w:r>
      <w:r w:rsidRPr="00504D79">
        <w:rPr>
          <w:rFonts w:cs="Helios"/>
          <w:color w:val="000000"/>
          <w:sz w:val="24"/>
          <w:szCs w:val="24"/>
        </w:rPr>
        <w:t xml:space="preserve">. These works which, at the very least, should be referred to as questionable from the point of view of authenticity (do not be fooled by the neutrality of this statement), have astounded Russian Art experts, collectors and connoisseurs of Goncharova’s work. </w:t>
      </w:r>
    </w:p>
    <w:p w:rsidR="00F914CD" w:rsidRPr="00504D79" w:rsidRDefault="00F914CD" w:rsidP="00F914CD">
      <w:pPr>
        <w:autoSpaceDE w:val="0"/>
        <w:autoSpaceDN w:val="0"/>
        <w:adjustRightInd w:val="0"/>
        <w:spacing w:after="0" w:line="240" w:lineRule="auto"/>
        <w:jc w:val="both"/>
        <w:rPr>
          <w:rFonts w:cs="Helios"/>
          <w:color w:val="000000"/>
          <w:sz w:val="24"/>
          <w:szCs w:val="24"/>
        </w:rPr>
      </w:pPr>
    </w:p>
    <w:p w:rsidR="00F914CD" w:rsidRPr="00504D79" w:rsidRDefault="00F914CD" w:rsidP="00F914CD">
      <w:pPr>
        <w:autoSpaceDE w:val="0"/>
        <w:autoSpaceDN w:val="0"/>
        <w:adjustRightInd w:val="0"/>
        <w:spacing w:after="0" w:line="240" w:lineRule="auto"/>
        <w:jc w:val="both"/>
        <w:rPr>
          <w:rFonts w:cs="Helios"/>
          <w:color w:val="000000"/>
          <w:sz w:val="24"/>
          <w:szCs w:val="24"/>
        </w:rPr>
      </w:pPr>
      <w:r w:rsidRPr="00504D79">
        <w:rPr>
          <w:rFonts w:cs="Helios"/>
          <w:color w:val="000000"/>
          <w:sz w:val="24"/>
          <w:szCs w:val="24"/>
        </w:rPr>
        <w:t xml:space="preserve">These ‘discoveries’ have been found </w:t>
      </w:r>
      <w:r>
        <w:rPr>
          <w:rFonts w:cs="Helios"/>
          <w:color w:val="000000"/>
          <w:sz w:val="24"/>
          <w:szCs w:val="24"/>
        </w:rPr>
        <w:t>in the main</w:t>
      </w:r>
      <w:r w:rsidRPr="00504D79">
        <w:rPr>
          <w:rFonts w:cs="Helios"/>
          <w:color w:val="000000"/>
          <w:sz w:val="24"/>
          <w:szCs w:val="24"/>
        </w:rPr>
        <w:t xml:space="preserve"> among those works connected with the period of Goncharova’s greatest innovativeness and of highest value at auction</w:t>
      </w:r>
      <w:r>
        <w:rPr>
          <w:rFonts w:cs="Helios"/>
          <w:color w:val="000000"/>
          <w:sz w:val="24"/>
          <w:szCs w:val="24"/>
        </w:rPr>
        <w:t xml:space="preserve"> (is this a coincidence?)</w:t>
      </w:r>
      <w:r w:rsidRPr="00504D79">
        <w:rPr>
          <w:rFonts w:cs="Helios"/>
          <w:color w:val="000000"/>
          <w:sz w:val="24"/>
          <w:szCs w:val="24"/>
        </w:rPr>
        <w:t xml:space="preserve"> – those created during her life in Russia, pre-1915. It should be noted that the point under discussion is not one or two ‘discoveries’, which could potentially be explained by mistaken attribution on behalf of the authors, but about 150 strange new pictures, utterly lacking in credible provenance or exhibition history, which have caused bewilderment and horror. </w:t>
      </w:r>
    </w:p>
    <w:p w:rsidR="00F914CD" w:rsidRPr="00504D79" w:rsidRDefault="00F914CD" w:rsidP="00F914CD">
      <w:pPr>
        <w:autoSpaceDE w:val="0"/>
        <w:autoSpaceDN w:val="0"/>
        <w:adjustRightInd w:val="0"/>
        <w:spacing w:after="0" w:line="240" w:lineRule="auto"/>
        <w:jc w:val="both"/>
        <w:rPr>
          <w:rFonts w:cs="Helios"/>
          <w:color w:val="000000"/>
          <w:sz w:val="24"/>
          <w:szCs w:val="24"/>
        </w:rPr>
      </w:pPr>
    </w:p>
    <w:p w:rsidR="00F914CD" w:rsidRPr="00504D79" w:rsidRDefault="00F914CD" w:rsidP="00F914CD">
      <w:pPr>
        <w:autoSpaceDE w:val="0"/>
        <w:autoSpaceDN w:val="0"/>
        <w:adjustRightInd w:val="0"/>
        <w:spacing w:after="0" w:line="240" w:lineRule="auto"/>
        <w:jc w:val="both"/>
        <w:rPr>
          <w:rFonts w:cs="Helios"/>
          <w:color w:val="000000"/>
          <w:sz w:val="24"/>
          <w:szCs w:val="24"/>
        </w:rPr>
      </w:pPr>
      <w:r w:rsidRPr="00504D79">
        <w:rPr>
          <w:rFonts w:cs="Helios"/>
          <w:color w:val="000000"/>
          <w:sz w:val="24"/>
          <w:szCs w:val="24"/>
        </w:rPr>
        <w:t xml:space="preserve">In the first volume of the monograph by Denise Bazetoux are </w:t>
      </w:r>
      <w:r>
        <w:rPr>
          <w:rFonts w:cs="Helios"/>
          <w:color w:val="000000"/>
          <w:sz w:val="24"/>
          <w:szCs w:val="24"/>
        </w:rPr>
        <w:t xml:space="preserve">reproduced </w:t>
      </w:r>
      <w:r w:rsidRPr="00504D79">
        <w:rPr>
          <w:rFonts w:cs="Helios"/>
          <w:color w:val="000000"/>
          <w:sz w:val="24"/>
          <w:szCs w:val="24"/>
        </w:rPr>
        <w:t xml:space="preserve">about 430 </w:t>
      </w:r>
      <w:r>
        <w:rPr>
          <w:rFonts w:cs="Helios"/>
          <w:color w:val="000000"/>
          <w:sz w:val="24"/>
          <w:szCs w:val="24"/>
        </w:rPr>
        <w:t>oils</w:t>
      </w:r>
      <w:r w:rsidRPr="00504D79">
        <w:rPr>
          <w:rFonts w:cs="Helios"/>
          <w:color w:val="000000"/>
          <w:sz w:val="24"/>
          <w:szCs w:val="24"/>
        </w:rPr>
        <w:t xml:space="preserve"> </w:t>
      </w:r>
      <w:r>
        <w:rPr>
          <w:rFonts w:cs="Helios"/>
          <w:color w:val="000000"/>
          <w:sz w:val="24"/>
          <w:szCs w:val="24"/>
        </w:rPr>
        <w:t xml:space="preserve">by Goncharova </w:t>
      </w:r>
      <w:r w:rsidRPr="00504D79">
        <w:rPr>
          <w:rFonts w:cs="Helios"/>
          <w:color w:val="000000"/>
          <w:sz w:val="24"/>
          <w:szCs w:val="24"/>
        </w:rPr>
        <w:t>painted before 1915. 148 of these works are from museums and another 130 have a detailed provenance and exhibition history. Yet it is well known that Goncharova painted about 3</w:t>
      </w:r>
      <w:r>
        <w:rPr>
          <w:rFonts w:cs="Helios"/>
          <w:color w:val="000000"/>
          <w:sz w:val="24"/>
          <w:szCs w:val="24"/>
        </w:rPr>
        <w:t>00 oils pre-1915 of which only 22</w:t>
      </w:r>
      <w:r w:rsidRPr="00504D79">
        <w:rPr>
          <w:rFonts w:cs="Helios"/>
          <w:color w:val="000000"/>
          <w:sz w:val="24"/>
          <w:szCs w:val="24"/>
        </w:rPr>
        <w:t xml:space="preserve"> are unaccounted for. How, therefore, has Mme. Bazetoux come to the </w:t>
      </w:r>
      <w:r>
        <w:rPr>
          <w:rFonts w:cs="Helios"/>
          <w:color w:val="000000"/>
          <w:sz w:val="24"/>
          <w:szCs w:val="24"/>
        </w:rPr>
        <w:t>vastly</w:t>
      </w:r>
      <w:r w:rsidRPr="00504D79">
        <w:rPr>
          <w:rFonts w:cs="Helios"/>
          <w:color w:val="000000"/>
          <w:sz w:val="24"/>
          <w:szCs w:val="24"/>
        </w:rPr>
        <w:t xml:space="preserve"> inflated figure of 430? </w:t>
      </w:r>
    </w:p>
    <w:p w:rsidR="00F914CD" w:rsidRPr="00504D79" w:rsidRDefault="00F914CD" w:rsidP="00F914CD">
      <w:pPr>
        <w:pStyle w:val="NoSpacing"/>
        <w:jc w:val="both"/>
        <w:rPr>
          <w:sz w:val="24"/>
          <w:szCs w:val="24"/>
        </w:rPr>
      </w:pPr>
    </w:p>
    <w:p w:rsidR="00F914CD" w:rsidRPr="00504D79" w:rsidRDefault="00F914CD" w:rsidP="00F914CD">
      <w:pPr>
        <w:pStyle w:val="NoSpacing"/>
        <w:jc w:val="both"/>
        <w:rPr>
          <w:sz w:val="24"/>
          <w:szCs w:val="24"/>
        </w:rPr>
      </w:pPr>
      <w:r w:rsidRPr="00504D79">
        <w:rPr>
          <w:sz w:val="24"/>
          <w:szCs w:val="24"/>
        </w:rPr>
        <w:t xml:space="preserve">The appearance of 150 new works by any major artist in </w:t>
      </w:r>
      <w:r>
        <w:rPr>
          <w:sz w:val="24"/>
          <w:szCs w:val="24"/>
        </w:rPr>
        <w:t xml:space="preserve">such </w:t>
      </w:r>
      <w:r w:rsidRPr="00504D79">
        <w:rPr>
          <w:sz w:val="24"/>
          <w:szCs w:val="24"/>
        </w:rPr>
        <w:t xml:space="preserve">a short period of time (roughly </w:t>
      </w:r>
      <w:r>
        <w:rPr>
          <w:sz w:val="24"/>
          <w:szCs w:val="24"/>
        </w:rPr>
        <w:t xml:space="preserve">the last </w:t>
      </w:r>
      <w:r w:rsidRPr="00504D79">
        <w:rPr>
          <w:sz w:val="24"/>
          <w:szCs w:val="24"/>
        </w:rPr>
        <w:t xml:space="preserve">20 years) would be a major cause for doubt, even rigmarole, in many quarters but this is the situation and, with their publication in these two books, these </w:t>
      </w:r>
      <w:r>
        <w:rPr>
          <w:sz w:val="24"/>
          <w:szCs w:val="24"/>
        </w:rPr>
        <w:t xml:space="preserve">mystery </w:t>
      </w:r>
      <w:r w:rsidRPr="00504D79">
        <w:rPr>
          <w:sz w:val="24"/>
          <w:szCs w:val="24"/>
        </w:rPr>
        <w:t>paintings are being passed off to museums, buyers and students as being genuine.</w:t>
      </w:r>
    </w:p>
    <w:p w:rsidR="00F914CD" w:rsidRPr="005775DB" w:rsidRDefault="00F914CD" w:rsidP="00F914CD">
      <w:pPr>
        <w:autoSpaceDE w:val="0"/>
        <w:autoSpaceDN w:val="0"/>
        <w:adjustRightInd w:val="0"/>
        <w:spacing w:after="0" w:line="240" w:lineRule="auto"/>
        <w:jc w:val="both"/>
        <w:rPr>
          <w:rFonts w:cs="HeliosBlack"/>
          <w:b/>
          <w:sz w:val="24"/>
          <w:szCs w:val="24"/>
          <w:u w:val="single"/>
        </w:rPr>
      </w:pPr>
      <w:r>
        <w:rPr>
          <w:rFonts w:cs="HeliosBlack"/>
          <w:b/>
          <w:sz w:val="24"/>
          <w:szCs w:val="24"/>
          <w:u w:val="single"/>
        </w:rPr>
        <w:lastRenderedPageBreak/>
        <w:t>S</w:t>
      </w:r>
      <w:r w:rsidRPr="005775DB">
        <w:rPr>
          <w:rFonts w:cs="HeliosBlack"/>
          <w:b/>
          <w:sz w:val="24"/>
          <w:szCs w:val="24"/>
          <w:u w:val="single"/>
        </w:rPr>
        <w:t>tylistic comparisons.</w:t>
      </w:r>
    </w:p>
    <w:p w:rsidR="00F914CD" w:rsidRDefault="00F914CD" w:rsidP="00F914CD">
      <w:pPr>
        <w:pStyle w:val="NoSpacing"/>
        <w:jc w:val="both"/>
        <w:rPr>
          <w:sz w:val="24"/>
          <w:szCs w:val="24"/>
        </w:rPr>
      </w:pPr>
    </w:p>
    <w:p w:rsidR="00F914CD" w:rsidRPr="00504D79" w:rsidRDefault="00F914CD" w:rsidP="00F914CD">
      <w:pPr>
        <w:pStyle w:val="NoSpacing"/>
        <w:jc w:val="both"/>
        <w:rPr>
          <w:sz w:val="24"/>
          <w:szCs w:val="24"/>
        </w:rPr>
      </w:pPr>
      <w:r w:rsidRPr="00504D79">
        <w:rPr>
          <w:sz w:val="24"/>
          <w:szCs w:val="24"/>
        </w:rPr>
        <w:t>A</w:t>
      </w:r>
      <w:r>
        <w:rPr>
          <w:sz w:val="24"/>
          <w:szCs w:val="24"/>
        </w:rPr>
        <w:t>n experienced</w:t>
      </w:r>
      <w:r w:rsidRPr="00504D79">
        <w:rPr>
          <w:sz w:val="24"/>
          <w:szCs w:val="24"/>
        </w:rPr>
        <w:t xml:space="preserve"> art dealer or historian, when confronted with the comparison shown below, would have </w:t>
      </w:r>
      <w:r>
        <w:rPr>
          <w:sz w:val="24"/>
          <w:szCs w:val="24"/>
        </w:rPr>
        <w:t>little difficulty</w:t>
      </w:r>
      <w:r w:rsidRPr="00504D79">
        <w:rPr>
          <w:sz w:val="24"/>
          <w:szCs w:val="24"/>
        </w:rPr>
        <w:t xml:space="preserve"> spotting which painting was of dubious authenticity. </w:t>
      </w:r>
      <w:r>
        <w:rPr>
          <w:sz w:val="24"/>
          <w:szCs w:val="24"/>
        </w:rPr>
        <w:t>When however, these pa</w:t>
      </w:r>
      <w:r w:rsidRPr="00504D79">
        <w:rPr>
          <w:sz w:val="24"/>
          <w:szCs w:val="24"/>
        </w:rPr>
        <w:t>i</w:t>
      </w:r>
      <w:r>
        <w:rPr>
          <w:sz w:val="24"/>
          <w:szCs w:val="24"/>
        </w:rPr>
        <w:t>nting</w:t>
      </w:r>
      <w:r w:rsidRPr="00504D79">
        <w:rPr>
          <w:sz w:val="24"/>
          <w:szCs w:val="24"/>
        </w:rPr>
        <w:t>s</w:t>
      </w:r>
      <w:r>
        <w:rPr>
          <w:sz w:val="24"/>
          <w:szCs w:val="24"/>
        </w:rPr>
        <w:t xml:space="preserve"> are</w:t>
      </w:r>
      <w:r w:rsidRPr="00504D79">
        <w:rPr>
          <w:sz w:val="24"/>
          <w:szCs w:val="24"/>
        </w:rPr>
        <w:t xml:space="preserve"> analyse</w:t>
      </w:r>
      <w:r>
        <w:rPr>
          <w:sz w:val="24"/>
          <w:szCs w:val="24"/>
        </w:rPr>
        <w:t xml:space="preserve">d deeper, their absurdity and that of the other </w:t>
      </w:r>
      <w:r w:rsidRPr="00504D79">
        <w:rPr>
          <w:sz w:val="24"/>
          <w:szCs w:val="24"/>
        </w:rPr>
        <w:t>150 paintings becomes clearer.</w:t>
      </w:r>
    </w:p>
    <w:p w:rsidR="00F914CD" w:rsidRPr="00504D79" w:rsidRDefault="00F914CD" w:rsidP="00F914CD">
      <w:pPr>
        <w:pStyle w:val="NoSpacing"/>
        <w:jc w:val="center"/>
        <w:rPr>
          <w:sz w:val="24"/>
          <w:szCs w:val="24"/>
        </w:rPr>
      </w:pPr>
    </w:p>
    <w:p w:rsidR="00F914CD" w:rsidRPr="00504D79" w:rsidRDefault="00F914CD" w:rsidP="00F914CD">
      <w:pPr>
        <w:pStyle w:val="NoSpacing"/>
        <w:jc w:val="center"/>
        <w:rPr>
          <w:sz w:val="24"/>
          <w:szCs w:val="24"/>
        </w:rPr>
      </w:pPr>
      <w:r w:rsidRPr="00504D79">
        <w:rPr>
          <w:rFonts w:eastAsia="Times New Roman" w:cs="Times New Roman"/>
          <w:noProof/>
          <w:sz w:val="24"/>
          <w:szCs w:val="24"/>
          <w:lang w:eastAsia="en-GB"/>
        </w:rPr>
        <w:drawing>
          <wp:inline distT="0" distB="0" distL="0" distR="0" wp14:anchorId="47018D50" wp14:editId="21970F3B">
            <wp:extent cx="2367553" cy="2432496"/>
            <wp:effectExtent l="0" t="0" r="0" b="6350"/>
            <wp:docPr id="3" name="Picture 3" descr="img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g179"/>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370650" cy="2435678"/>
                    </a:xfrm>
                    <a:prstGeom prst="rect">
                      <a:avLst/>
                    </a:prstGeom>
                    <a:noFill/>
                    <a:ln>
                      <a:noFill/>
                    </a:ln>
                  </pic:spPr>
                </pic:pic>
              </a:graphicData>
            </a:graphic>
          </wp:inline>
        </w:drawing>
      </w:r>
    </w:p>
    <w:p w:rsidR="00F914CD" w:rsidRPr="00504D79" w:rsidRDefault="00F914CD" w:rsidP="00F914CD">
      <w:pPr>
        <w:pStyle w:val="NoSpacing"/>
        <w:jc w:val="center"/>
        <w:rPr>
          <w:b/>
          <w:sz w:val="24"/>
          <w:szCs w:val="24"/>
          <w:u w:val="single"/>
        </w:rPr>
      </w:pPr>
    </w:p>
    <w:p w:rsidR="00F914CD" w:rsidRPr="00504D79" w:rsidRDefault="00F914CD" w:rsidP="00F914CD">
      <w:pPr>
        <w:pStyle w:val="NoSpacing"/>
        <w:jc w:val="center"/>
        <w:rPr>
          <w:b/>
          <w:sz w:val="24"/>
          <w:szCs w:val="24"/>
          <w:u w:val="single"/>
        </w:rPr>
      </w:pPr>
      <w:r w:rsidRPr="00504D79">
        <w:rPr>
          <w:b/>
          <w:sz w:val="24"/>
          <w:szCs w:val="24"/>
          <w:u w:val="single"/>
        </w:rPr>
        <w:t>Figure 1</w:t>
      </w:r>
    </w:p>
    <w:p w:rsidR="00F914CD" w:rsidRPr="00504D79" w:rsidRDefault="00F914CD" w:rsidP="00F914CD">
      <w:pPr>
        <w:pStyle w:val="NoSpacing"/>
        <w:jc w:val="center"/>
        <w:rPr>
          <w:sz w:val="24"/>
          <w:szCs w:val="24"/>
        </w:rPr>
      </w:pPr>
      <w:r w:rsidRPr="00504D79">
        <w:rPr>
          <w:sz w:val="24"/>
          <w:szCs w:val="24"/>
        </w:rPr>
        <w:t>Natalia Goncharova (?)</w:t>
      </w:r>
    </w:p>
    <w:p w:rsidR="00F914CD" w:rsidRPr="00504D79" w:rsidRDefault="00F914CD" w:rsidP="00F914CD">
      <w:pPr>
        <w:pStyle w:val="NoSpacing"/>
        <w:jc w:val="center"/>
        <w:rPr>
          <w:sz w:val="24"/>
          <w:szCs w:val="24"/>
        </w:rPr>
      </w:pPr>
      <w:r w:rsidRPr="00504D79">
        <w:rPr>
          <w:sz w:val="24"/>
          <w:szCs w:val="24"/>
        </w:rPr>
        <w:t>‘Still life with a coffee pot and a fan’.</w:t>
      </w:r>
    </w:p>
    <w:p w:rsidR="00F914CD" w:rsidRPr="00504D79" w:rsidRDefault="00F914CD" w:rsidP="00F914CD">
      <w:pPr>
        <w:pStyle w:val="NoSpacing"/>
        <w:jc w:val="center"/>
        <w:rPr>
          <w:sz w:val="24"/>
          <w:szCs w:val="24"/>
        </w:rPr>
      </w:pPr>
      <w:r w:rsidRPr="00504D79">
        <w:rPr>
          <w:sz w:val="24"/>
          <w:szCs w:val="24"/>
        </w:rPr>
        <w:t>Anthony Parton : ill. 46, Denise Bazetoux; ill. 191</w:t>
      </w:r>
    </w:p>
    <w:p w:rsidR="00F914CD" w:rsidRPr="00504D79" w:rsidRDefault="00F914CD" w:rsidP="00F914CD">
      <w:pPr>
        <w:pStyle w:val="NoSpacing"/>
        <w:jc w:val="center"/>
        <w:rPr>
          <w:sz w:val="24"/>
          <w:szCs w:val="24"/>
        </w:rPr>
      </w:pPr>
      <w:r w:rsidRPr="00504D79">
        <w:rPr>
          <w:sz w:val="24"/>
          <w:szCs w:val="24"/>
        </w:rPr>
        <w:t>‘Private collection’</w:t>
      </w:r>
    </w:p>
    <w:p w:rsidR="00F914CD" w:rsidRPr="00504D79" w:rsidRDefault="00F914CD" w:rsidP="00F914CD">
      <w:pPr>
        <w:jc w:val="center"/>
        <w:rPr>
          <w:rFonts w:cs="HeliosBlack"/>
          <w:b/>
          <w:color w:val="00B050"/>
          <w:sz w:val="24"/>
          <w:szCs w:val="24"/>
        </w:rPr>
      </w:pPr>
      <w:r w:rsidRPr="00504D79">
        <w:rPr>
          <w:noProof/>
          <w:sz w:val="24"/>
          <w:szCs w:val="24"/>
          <w:lang w:eastAsia="en-GB"/>
        </w:rPr>
        <w:drawing>
          <wp:inline distT="0" distB="0" distL="0" distR="0" wp14:anchorId="28819886" wp14:editId="0EC51032">
            <wp:extent cx="2688559" cy="2993367"/>
            <wp:effectExtent l="0" t="0" r="0" b="0"/>
            <wp:docPr id="2" name="Picture 2" descr="img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mg18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703043" cy="3009493"/>
                    </a:xfrm>
                    <a:prstGeom prst="rect">
                      <a:avLst/>
                    </a:prstGeom>
                    <a:noFill/>
                    <a:ln>
                      <a:noFill/>
                    </a:ln>
                  </pic:spPr>
                </pic:pic>
              </a:graphicData>
            </a:graphic>
          </wp:inline>
        </w:drawing>
      </w:r>
    </w:p>
    <w:p w:rsidR="00F914CD" w:rsidRPr="00504D79" w:rsidRDefault="00F914CD" w:rsidP="00F914CD">
      <w:pPr>
        <w:pStyle w:val="NoSpacing"/>
        <w:jc w:val="center"/>
        <w:rPr>
          <w:b/>
          <w:sz w:val="24"/>
          <w:szCs w:val="24"/>
          <w:u w:val="single"/>
        </w:rPr>
      </w:pPr>
      <w:r w:rsidRPr="00504D79">
        <w:rPr>
          <w:b/>
          <w:sz w:val="24"/>
          <w:szCs w:val="24"/>
          <w:u w:val="single"/>
        </w:rPr>
        <w:t>Figure 2</w:t>
      </w:r>
    </w:p>
    <w:p w:rsidR="00F914CD" w:rsidRPr="00504D79" w:rsidRDefault="00F914CD" w:rsidP="00F914CD">
      <w:pPr>
        <w:pStyle w:val="NoSpacing"/>
        <w:jc w:val="center"/>
        <w:rPr>
          <w:sz w:val="24"/>
          <w:szCs w:val="24"/>
        </w:rPr>
      </w:pPr>
      <w:r w:rsidRPr="00504D79">
        <w:rPr>
          <w:sz w:val="24"/>
          <w:szCs w:val="24"/>
        </w:rPr>
        <w:t>Natalia Goncharova</w:t>
      </w:r>
    </w:p>
    <w:p w:rsidR="00F914CD" w:rsidRPr="00504D79" w:rsidRDefault="00F914CD" w:rsidP="00F914CD">
      <w:pPr>
        <w:pStyle w:val="NoSpacing"/>
        <w:jc w:val="center"/>
        <w:rPr>
          <w:sz w:val="24"/>
          <w:szCs w:val="24"/>
        </w:rPr>
      </w:pPr>
      <w:r w:rsidRPr="00504D79">
        <w:rPr>
          <w:sz w:val="24"/>
          <w:szCs w:val="24"/>
        </w:rPr>
        <w:t xml:space="preserve">‘Flowers with a coffee pot’. </w:t>
      </w:r>
    </w:p>
    <w:p w:rsidR="00F914CD" w:rsidRPr="00504D79" w:rsidRDefault="00F914CD" w:rsidP="00F914CD">
      <w:pPr>
        <w:pStyle w:val="NoSpacing"/>
        <w:jc w:val="center"/>
        <w:rPr>
          <w:sz w:val="24"/>
          <w:szCs w:val="24"/>
        </w:rPr>
      </w:pPr>
      <w:r w:rsidRPr="00504D79">
        <w:rPr>
          <w:sz w:val="24"/>
          <w:szCs w:val="24"/>
        </w:rPr>
        <w:t>State Russian Museum</w:t>
      </w:r>
      <w:r>
        <w:rPr>
          <w:sz w:val="24"/>
          <w:szCs w:val="24"/>
        </w:rPr>
        <w:t>, St. Petersburg</w:t>
      </w:r>
    </w:p>
    <w:p w:rsidR="00F914CD" w:rsidRDefault="00F914CD" w:rsidP="00F914CD">
      <w:pPr>
        <w:jc w:val="both"/>
        <w:rPr>
          <w:rFonts w:eastAsia="Times New Roman" w:cs="Times New Roman"/>
          <w:sz w:val="24"/>
          <w:szCs w:val="24"/>
          <w:lang w:eastAsia="en-GB"/>
        </w:rPr>
      </w:pPr>
      <w:r w:rsidRPr="00504D79">
        <w:rPr>
          <w:rFonts w:eastAsia="Times New Roman" w:cs="Times New Roman"/>
          <w:sz w:val="24"/>
          <w:szCs w:val="24"/>
          <w:lang w:eastAsia="en-GB"/>
        </w:rPr>
        <w:lastRenderedPageBreak/>
        <w:t xml:space="preserve">Aside from the total lack of creativity in the first illustration a comparison of the two coffee pots alone should be enough to convince of </w:t>
      </w:r>
      <w:r>
        <w:rPr>
          <w:rFonts w:eastAsia="Times New Roman" w:cs="Times New Roman"/>
          <w:sz w:val="24"/>
          <w:szCs w:val="24"/>
          <w:lang w:eastAsia="en-GB"/>
        </w:rPr>
        <w:t xml:space="preserve">the </w:t>
      </w:r>
      <w:r w:rsidRPr="00504D79">
        <w:rPr>
          <w:rFonts w:eastAsia="Times New Roman" w:cs="Times New Roman"/>
          <w:sz w:val="24"/>
          <w:szCs w:val="24"/>
          <w:lang w:eastAsia="en-GB"/>
        </w:rPr>
        <w:t>dubious authenticity</w:t>
      </w:r>
      <w:r>
        <w:rPr>
          <w:rFonts w:eastAsia="Times New Roman" w:cs="Times New Roman"/>
          <w:sz w:val="24"/>
          <w:szCs w:val="24"/>
          <w:lang w:eastAsia="en-GB"/>
        </w:rPr>
        <w:t xml:space="preserve"> of Figure 1</w:t>
      </w:r>
      <w:r w:rsidRPr="00504D79">
        <w:rPr>
          <w:rFonts w:eastAsia="Times New Roman" w:cs="Times New Roman"/>
          <w:sz w:val="24"/>
          <w:szCs w:val="24"/>
          <w:lang w:eastAsia="en-GB"/>
        </w:rPr>
        <w:t xml:space="preserve">. </w:t>
      </w:r>
      <w:r>
        <w:rPr>
          <w:rFonts w:eastAsia="Times New Roman" w:cs="Times New Roman"/>
          <w:sz w:val="24"/>
          <w:szCs w:val="24"/>
          <w:lang w:eastAsia="en-GB"/>
        </w:rPr>
        <w:t>It</w:t>
      </w:r>
      <w:r w:rsidRPr="00504D79">
        <w:rPr>
          <w:rFonts w:eastAsia="Times New Roman" w:cs="Times New Roman"/>
          <w:sz w:val="24"/>
          <w:szCs w:val="24"/>
          <w:lang w:eastAsia="en-GB"/>
        </w:rPr>
        <w:t xml:space="preserve"> has a bent look with a lid more akin to that on a scent bottle, the handle has become rectangular and the entire composition shows a lack of confidence on behalf of the author, unsure whether the pot is multi-layered or smooth</w:t>
      </w:r>
      <w:r>
        <w:rPr>
          <w:rFonts w:eastAsia="Times New Roman" w:cs="Times New Roman"/>
          <w:sz w:val="24"/>
          <w:szCs w:val="24"/>
          <w:lang w:eastAsia="en-GB"/>
        </w:rPr>
        <w:t xml:space="preserve"> or how many corners the objects should have. By way of contrast, the coffee pot in figure 2 alone, to say nothing of the overall painting, clearly shows the subtle cubism </w:t>
      </w:r>
      <w:r w:rsidRPr="00504D79">
        <w:rPr>
          <w:rFonts w:eastAsia="Times New Roman" w:cs="Times New Roman"/>
          <w:sz w:val="24"/>
          <w:szCs w:val="24"/>
          <w:lang w:eastAsia="en-GB"/>
        </w:rPr>
        <w:t>and colour for which Goncharova was famous.</w:t>
      </w:r>
    </w:p>
    <w:p w:rsidR="00F914CD" w:rsidRDefault="00F914CD" w:rsidP="00F914CD">
      <w:pPr>
        <w:jc w:val="both"/>
        <w:rPr>
          <w:rFonts w:eastAsia="Times New Roman" w:cs="Times New Roman"/>
          <w:sz w:val="24"/>
          <w:szCs w:val="24"/>
          <w:lang w:eastAsia="en-GB"/>
        </w:rPr>
      </w:pPr>
      <w:r>
        <w:rPr>
          <w:rFonts w:eastAsia="Times New Roman" w:cs="Times New Roman"/>
          <w:sz w:val="24"/>
          <w:szCs w:val="24"/>
          <w:lang w:eastAsia="en-GB"/>
        </w:rPr>
        <w:t>Further stylistic absurdities abound, for example the variations on themes, a concept which Goncharova virtually never applied to her pre-1915 oeuvre. Compare the subtlety of Figures 3 and 5 with the crude imitations of Figures 4 and 6.</w:t>
      </w:r>
    </w:p>
    <w:p w:rsidR="00F914CD" w:rsidRDefault="00F914CD" w:rsidP="00F914CD">
      <w:pPr>
        <w:jc w:val="center"/>
        <w:rPr>
          <w:rFonts w:eastAsia="Times New Roman" w:cs="Times New Roman"/>
          <w:sz w:val="24"/>
          <w:szCs w:val="24"/>
          <w:lang w:eastAsia="en-GB"/>
        </w:rPr>
      </w:pPr>
      <w:r>
        <w:rPr>
          <w:noProof/>
          <w:lang w:eastAsia="en-GB"/>
        </w:rPr>
        <w:drawing>
          <wp:inline distT="0" distB="0" distL="0" distR="0" wp14:anchorId="33A49630" wp14:editId="4C227FD6">
            <wp:extent cx="2363638" cy="2260121"/>
            <wp:effectExtent l="0" t="0" r="0" b="6985"/>
            <wp:docPr id="35" name="Picture 35"/>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364095" cy="2260558"/>
                    </a:xfrm>
                    <a:prstGeom prst="rect">
                      <a:avLst/>
                    </a:prstGeom>
                  </pic:spPr>
                </pic:pic>
              </a:graphicData>
            </a:graphic>
          </wp:inline>
        </w:drawing>
      </w:r>
    </w:p>
    <w:p w:rsidR="00F914CD" w:rsidRPr="00504D79" w:rsidRDefault="00F914CD" w:rsidP="00F914CD">
      <w:pPr>
        <w:pStyle w:val="NoSpacing"/>
        <w:jc w:val="center"/>
        <w:rPr>
          <w:b/>
          <w:sz w:val="24"/>
          <w:szCs w:val="24"/>
          <w:u w:val="single"/>
        </w:rPr>
      </w:pPr>
      <w:r w:rsidRPr="00504D79">
        <w:rPr>
          <w:b/>
          <w:sz w:val="24"/>
          <w:szCs w:val="24"/>
          <w:u w:val="single"/>
        </w:rPr>
        <w:t xml:space="preserve">Figure </w:t>
      </w:r>
      <w:r>
        <w:rPr>
          <w:b/>
          <w:sz w:val="24"/>
          <w:szCs w:val="24"/>
          <w:u w:val="single"/>
        </w:rPr>
        <w:t>3</w:t>
      </w:r>
    </w:p>
    <w:p w:rsidR="00F914CD" w:rsidRPr="00504D79" w:rsidRDefault="00F914CD" w:rsidP="00F914CD">
      <w:pPr>
        <w:pStyle w:val="NoSpacing"/>
        <w:jc w:val="center"/>
        <w:rPr>
          <w:sz w:val="24"/>
          <w:szCs w:val="24"/>
        </w:rPr>
      </w:pPr>
      <w:r w:rsidRPr="00504D79">
        <w:rPr>
          <w:sz w:val="24"/>
          <w:szCs w:val="24"/>
        </w:rPr>
        <w:t>Natalia Goncharo</w:t>
      </w:r>
      <w:r>
        <w:rPr>
          <w:sz w:val="24"/>
          <w:szCs w:val="24"/>
        </w:rPr>
        <w:t>va</w:t>
      </w:r>
    </w:p>
    <w:p w:rsidR="00F914CD" w:rsidRPr="00504D79" w:rsidRDefault="00F914CD" w:rsidP="00F914CD">
      <w:pPr>
        <w:pStyle w:val="NoSpacing"/>
        <w:jc w:val="center"/>
        <w:rPr>
          <w:sz w:val="24"/>
          <w:szCs w:val="24"/>
        </w:rPr>
      </w:pPr>
      <w:r>
        <w:rPr>
          <w:sz w:val="24"/>
          <w:szCs w:val="24"/>
        </w:rPr>
        <w:t>‘Peacock in sunlight’ (1911)</w:t>
      </w:r>
    </w:p>
    <w:p w:rsidR="00F914CD" w:rsidRDefault="00F914CD" w:rsidP="00F914CD">
      <w:pPr>
        <w:pStyle w:val="NoSpacing"/>
        <w:jc w:val="center"/>
        <w:rPr>
          <w:sz w:val="24"/>
          <w:szCs w:val="24"/>
        </w:rPr>
      </w:pPr>
      <w:r>
        <w:rPr>
          <w:sz w:val="24"/>
          <w:szCs w:val="24"/>
        </w:rPr>
        <w:t>Tretyakov Gallery, Moscow</w:t>
      </w:r>
    </w:p>
    <w:p w:rsidR="00F914CD" w:rsidRDefault="00F914CD" w:rsidP="00F914CD">
      <w:pPr>
        <w:pStyle w:val="NoSpacing"/>
        <w:jc w:val="center"/>
        <w:rPr>
          <w:sz w:val="24"/>
          <w:szCs w:val="24"/>
        </w:rPr>
      </w:pPr>
    </w:p>
    <w:p w:rsidR="00F914CD" w:rsidRDefault="00F914CD" w:rsidP="00F914CD">
      <w:pPr>
        <w:pStyle w:val="NoSpacing"/>
        <w:jc w:val="center"/>
        <w:rPr>
          <w:sz w:val="24"/>
          <w:szCs w:val="24"/>
        </w:rPr>
      </w:pPr>
      <w:r>
        <w:rPr>
          <w:noProof/>
          <w:lang w:eastAsia="en-GB"/>
        </w:rPr>
        <w:drawing>
          <wp:inline distT="0" distB="0" distL="0" distR="0" wp14:anchorId="51EB3CEB" wp14:editId="488CE78D">
            <wp:extent cx="2063437" cy="1984076"/>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074202" cy="1994427"/>
                    </a:xfrm>
                    <a:prstGeom prst="rect">
                      <a:avLst/>
                    </a:prstGeom>
                    <a:noFill/>
                    <a:ln>
                      <a:noFill/>
                    </a:ln>
                  </pic:spPr>
                </pic:pic>
              </a:graphicData>
            </a:graphic>
          </wp:inline>
        </w:drawing>
      </w:r>
    </w:p>
    <w:p w:rsidR="00F914CD" w:rsidRDefault="00F914CD" w:rsidP="00F914CD">
      <w:pPr>
        <w:pStyle w:val="NoSpacing"/>
        <w:jc w:val="center"/>
        <w:rPr>
          <w:sz w:val="24"/>
          <w:szCs w:val="24"/>
        </w:rPr>
      </w:pPr>
    </w:p>
    <w:p w:rsidR="00F914CD" w:rsidRPr="00504D79" w:rsidRDefault="00F914CD" w:rsidP="00F914CD">
      <w:pPr>
        <w:pStyle w:val="NoSpacing"/>
        <w:jc w:val="center"/>
        <w:rPr>
          <w:b/>
          <w:sz w:val="24"/>
          <w:szCs w:val="24"/>
          <w:u w:val="single"/>
        </w:rPr>
      </w:pPr>
      <w:r w:rsidRPr="00504D79">
        <w:rPr>
          <w:b/>
          <w:sz w:val="24"/>
          <w:szCs w:val="24"/>
          <w:u w:val="single"/>
        </w:rPr>
        <w:t xml:space="preserve">Figure </w:t>
      </w:r>
      <w:r>
        <w:rPr>
          <w:b/>
          <w:sz w:val="24"/>
          <w:szCs w:val="24"/>
          <w:u w:val="single"/>
        </w:rPr>
        <w:t>4</w:t>
      </w:r>
    </w:p>
    <w:p w:rsidR="00F914CD" w:rsidRPr="00504D79" w:rsidRDefault="00F914CD" w:rsidP="00F914CD">
      <w:pPr>
        <w:pStyle w:val="NoSpacing"/>
        <w:jc w:val="center"/>
        <w:rPr>
          <w:sz w:val="24"/>
          <w:szCs w:val="24"/>
        </w:rPr>
      </w:pPr>
      <w:r w:rsidRPr="00504D79">
        <w:rPr>
          <w:sz w:val="24"/>
          <w:szCs w:val="24"/>
        </w:rPr>
        <w:t>Natalia Goncharova (?)</w:t>
      </w:r>
    </w:p>
    <w:p w:rsidR="00F914CD" w:rsidRPr="00504D79" w:rsidRDefault="00F914CD" w:rsidP="00F914CD">
      <w:pPr>
        <w:pStyle w:val="NoSpacing"/>
        <w:jc w:val="center"/>
        <w:rPr>
          <w:sz w:val="24"/>
          <w:szCs w:val="24"/>
        </w:rPr>
      </w:pPr>
      <w:r w:rsidRPr="00504D79">
        <w:rPr>
          <w:sz w:val="24"/>
          <w:szCs w:val="24"/>
        </w:rPr>
        <w:t>‘</w:t>
      </w:r>
      <w:r>
        <w:rPr>
          <w:sz w:val="24"/>
          <w:szCs w:val="24"/>
        </w:rPr>
        <w:t>Multi-coloured peacock</w:t>
      </w:r>
      <w:r w:rsidRPr="00504D79">
        <w:rPr>
          <w:sz w:val="24"/>
          <w:szCs w:val="24"/>
        </w:rPr>
        <w:t>’</w:t>
      </w:r>
      <w:r>
        <w:rPr>
          <w:sz w:val="24"/>
          <w:szCs w:val="24"/>
        </w:rPr>
        <w:t xml:space="preserve"> (1910)</w:t>
      </w:r>
      <w:r w:rsidRPr="00504D79">
        <w:rPr>
          <w:sz w:val="24"/>
          <w:szCs w:val="24"/>
        </w:rPr>
        <w:t>.</w:t>
      </w:r>
    </w:p>
    <w:p w:rsidR="00F914CD" w:rsidRPr="00504D79" w:rsidRDefault="00F914CD" w:rsidP="00F914CD">
      <w:pPr>
        <w:pStyle w:val="NoSpacing"/>
        <w:jc w:val="center"/>
        <w:rPr>
          <w:sz w:val="24"/>
          <w:szCs w:val="24"/>
        </w:rPr>
      </w:pPr>
      <w:r w:rsidRPr="00504D79">
        <w:rPr>
          <w:sz w:val="24"/>
          <w:szCs w:val="24"/>
        </w:rPr>
        <w:t>Den</w:t>
      </w:r>
      <w:r>
        <w:rPr>
          <w:sz w:val="24"/>
          <w:szCs w:val="24"/>
        </w:rPr>
        <w:t>ise Bazetoux; ill. 547</w:t>
      </w:r>
    </w:p>
    <w:p w:rsidR="00F914CD" w:rsidRPr="00504D79" w:rsidRDefault="00F914CD" w:rsidP="00F914CD">
      <w:pPr>
        <w:pStyle w:val="NoSpacing"/>
        <w:jc w:val="center"/>
        <w:rPr>
          <w:sz w:val="24"/>
          <w:szCs w:val="24"/>
        </w:rPr>
      </w:pPr>
      <w:r w:rsidRPr="00504D79">
        <w:rPr>
          <w:sz w:val="24"/>
          <w:szCs w:val="24"/>
        </w:rPr>
        <w:t>‘Private collection’</w:t>
      </w:r>
    </w:p>
    <w:p w:rsidR="00F914CD" w:rsidRDefault="00F914CD" w:rsidP="00F914CD">
      <w:pPr>
        <w:jc w:val="center"/>
        <w:rPr>
          <w:rFonts w:eastAsia="Times New Roman" w:cs="Times New Roman"/>
          <w:sz w:val="24"/>
          <w:szCs w:val="24"/>
          <w:lang w:eastAsia="en-GB"/>
        </w:rPr>
      </w:pPr>
      <w:r>
        <w:rPr>
          <w:noProof/>
          <w:lang w:eastAsia="en-GB"/>
        </w:rPr>
        <w:lastRenderedPageBreak/>
        <w:drawing>
          <wp:inline distT="0" distB="0" distL="0" distR="0" wp14:anchorId="6EB40D94" wp14:editId="0C79C94D">
            <wp:extent cx="3019245" cy="3347049"/>
            <wp:effectExtent l="0" t="0" r="0" b="6350"/>
            <wp:docPr id="53" name="Picture 53" descr="C:\Users\James Butterwick\Pictures\Fakes lecture\img360 - Copy.jpg"/>
            <wp:cNvGraphicFramePr/>
            <a:graphic xmlns:a="http://schemas.openxmlformats.org/drawingml/2006/main">
              <a:graphicData uri="http://schemas.openxmlformats.org/drawingml/2006/picture">
                <pic:pic xmlns:pic="http://schemas.openxmlformats.org/drawingml/2006/picture">
                  <pic:nvPicPr>
                    <pic:cNvPr id="53" name="Picture 53" descr="C:\Users\James Butterwick\Pictures\Fakes lecture\img360 - Copy.jpg"/>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021414" cy="3349454"/>
                    </a:xfrm>
                    <a:prstGeom prst="rect">
                      <a:avLst/>
                    </a:prstGeom>
                    <a:noFill/>
                    <a:ln>
                      <a:noFill/>
                    </a:ln>
                  </pic:spPr>
                </pic:pic>
              </a:graphicData>
            </a:graphic>
          </wp:inline>
        </w:drawing>
      </w:r>
    </w:p>
    <w:p w:rsidR="00F914CD" w:rsidRPr="00504D79" w:rsidRDefault="00F914CD" w:rsidP="00F914CD">
      <w:pPr>
        <w:pStyle w:val="NoSpacing"/>
        <w:jc w:val="center"/>
        <w:rPr>
          <w:b/>
          <w:sz w:val="24"/>
          <w:szCs w:val="24"/>
          <w:u w:val="single"/>
        </w:rPr>
      </w:pPr>
      <w:r w:rsidRPr="00504D79">
        <w:rPr>
          <w:b/>
          <w:sz w:val="24"/>
          <w:szCs w:val="24"/>
          <w:u w:val="single"/>
        </w:rPr>
        <w:t xml:space="preserve">Figure </w:t>
      </w:r>
      <w:r>
        <w:rPr>
          <w:b/>
          <w:sz w:val="24"/>
          <w:szCs w:val="24"/>
          <w:u w:val="single"/>
        </w:rPr>
        <w:t>5</w:t>
      </w:r>
    </w:p>
    <w:p w:rsidR="00F914CD" w:rsidRPr="00504D79" w:rsidRDefault="00F914CD" w:rsidP="00F914CD">
      <w:pPr>
        <w:pStyle w:val="NoSpacing"/>
        <w:jc w:val="center"/>
        <w:rPr>
          <w:sz w:val="24"/>
          <w:szCs w:val="24"/>
        </w:rPr>
      </w:pPr>
      <w:r w:rsidRPr="00504D79">
        <w:rPr>
          <w:sz w:val="24"/>
          <w:szCs w:val="24"/>
        </w:rPr>
        <w:t>Natalia Goncharo</w:t>
      </w:r>
      <w:r>
        <w:rPr>
          <w:sz w:val="24"/>
          <w:szCs w:val="24"/>
        </w:rPr>
        <w:t>va</w:t>
      </w:r>
    </w:p>
    <w:p w:rsidR="00F914CD" w:rsidRPr="00504D79" w:rsidRDefault="00F914CD" w:rsidP="00F914CD">
      <w:pPr>
        <w:pStyle w:val="NoSpacing"/>
        <w:jc w:val="center"/>
        <w:rPr>
          <w:sz w:val="24"/>
          <w:szCs w:val="24"/>
        </w:rPr>
      </w:pPr>
      <w:r>
        <w:rPr>
          <w:sz w:val="24"/>
          <w:szCs w:val="24"/>
        </w:rPr>
        <w:t>‘Sheep shearers’ (1907)</w:t>
      </w:r>
    </w:p>
    <w:p w:rsidR="00F914CD" w:rsidRDefault="00F914CD" w:rsidP="00F914CD">
      <w:pPr>
        <w:pStyle w:val="NoSpacing"/>
        <w:jc w:val="center"/>
        <w:rPr>
          <w:sz w:val="24"/>
          <w:szCs w:val="24"/>
        </w:rPr>
      </w:pPr>
      <w:r>
        <w:rPr>
          <w:sz w:val="24"/>
          <w:szCs w:val="24"/>
        </w:rPr>
        <w:t>Museum of Serpukhov</w:t>
      </w:r>
    </w:p>
    <w:p w:rsidR="00F914CD" w:rsidRDefault="00F914CD" w:rsidP="00F914CD">
      <w:pPr>
        <w:pStyle w:val="NoSpacing"/>
        <w:jc w:val="center"/>
        <w:rPr>
          <w:sz w:val="24"/>
          <w:szCs w:val="24"/>
        </w:rPr>
      </w:pPr>
    </w:p>
    <w:p w:rsidR="00F914CD" w:rsidRDefault="00F914CD" w:rsidP="00F914CD">
      <w:pPr>
        <w:pStyle w:val="NoSpacing"/>
        <w:jc w:val="center"/>
        <w:rPr>
          <w:sz w:val="24"/>
          <w:szCs w:val="24"/>
        </w:rPr>
      </w:pPr>
      <w:r>
        <w:rPr>
          <w:noProof/>
          <w:lang w:eastAsia="en-GB"/>
        </w:rPr>
        <w:drawing>
          <wp:inline distT="0" distB="0" distL="0" distR="0" wp14:anchorId="110BEA5C" wp14:editId="112A7B74">
            <wp:extent cx="4641012" cy="3243532"/>
            <wp:effectExtent l="0" t="0" r="7620" b="0"/>
            <wp:docPr id="54" name="Picture 54" descr="C:\Users\James Butterwick\Pictures\Fakes lecture\img360.jpg"/>
            <wp:cNvGraphicFramePr/>
            <a:graphic xmlns:a="http://schemas.openxmlformats.org/drawingml/2006/main">
              <a:graphicData uri="http://schemas.openxmlformats.org/drawingml/2006/picture">
                <pic:pic xmlns:pic="http://schemas.openxmlformats.org/drawingml/2006/picture">
                  <pic:nvPicPr>
                    <pic:cNvPr id="54" name="Picture 54" descr="C:\Users\James Butterwick\Pictures\Fakes lecture\img360.jpg"/>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639015" cy="3242136"/>
                    </a:xfrm>
                    <a:prstGeom prst="rect">
                      <a:avLst/>
                    </a:prstGeom>
                    <a:noFill/>
                    <a:ln>
                      <a:noFill/>
                    </a:ln>
                  </pic:spPr>
                </pic:pic>
              </a:graphicData>
            </a:graphic>
          </wp:inline>
        </w:drawing>
      </w:r>
    </w:p>
    <w:p w:rsidR="00F914CD" w:rsidRDefault="00F914CD" w:rsidP="00F914CD">
      <w:pPr>
        <w:pStyle w:val="NoSpacing"/>
        <w:jc w:val="center"/>
        <w:rPr>
          <w:sz w:val="24"/>
          <w:szCs w:val="24"/>
        </w:rPr>
      </w:pPr>
    </w:p>
    <w:p w:rsidR="00F914CD" w:rsidRPr="00504D79" w:rsidRDefault="00F914CD" w:rsidP="00F914CD">
      <w:pPr>
        <w:pStyle w:val="NoSpacing"/>
        <w:jc w:val="center"/>
        <w:rPr>
          <w:b/>
          <w:sz w:val="24"/>
          <w:szCs w:val="24"/>
          <w:u w:val="single"/>
        </w:rPr>
      </w:pPr>
      <w:r w:rsidRPr="00504D79">
        <w:rPr>
          <w:b/>
          <w:sz w:val="24"/>
          <w:szCs w:val="24"/>
          <w:u w:val="single"/>
        </w:rPr>
        <w:t xml:space="preserve">Figure </w:t>
      </w:r>
      <w:r>
        <w:rPr>
          <w:b/>
          <w:sz w:val="24"/>
          <w:szCs w:val="24"/>
          <w:u w:val="single"/>
        </w:rPr>
        <w:t>6</w:t>
      </w:r>
    </w:p>
    <w:p w:rsidR="00F914CD" w:rsidRPr="00504D79" w:rsidRDefault="00F914CD" w:rsidP="00F914CD">
      <w:pPr>
        <w:pStyle w:val="NoSpacing"/>
        <w:jc w:val="center"/>
        <w:rPr>
          <w:sz w:val="24"/>
          <w:szCs w:val="24"/>
        </w:rPr>
      </w:pPr>
      <w:r w:rsidRPr="00504D79">
        <w:rPr>
          <w:sz w:val="24"/>
          <w:szCs w:val="24"/>
        </w:rPr>
        <w:t>Natalia Goncharova (?)</w:t>
      </w:r>
    </w:p>
    <w:p w:rsidR="00F914CD" w:rsidRPr="00504D79" w:rsidRDefault="00F914CD" w:rsidP="00F914CD">
      <w:pPr>
        <w:pStyle w:val="NoSpacing"/>
        <w:jc w:val="center"/>
        <w:rPr>
          <w:sz w:val="24"/>
          <w:szCs w:val="24"/>
        </w:rPr>
      </w:pPr>
      <w:r w:rsidRPr="00504D79">
        <w:rPr>
          <w:sz w:val="24"/>
          <w:szCs w:val="24"/>
        </w:rPr>
        <w:t>‘</w:t>
      </w:r>
      <w:r>
        <w:rPr>
          <w:sz w:val="24"/>
          <w:szCs w:val="24"/>
        </w:rPr>
        <w:t>Work in the fields</w:t>
      </w:r>
      <w:r w:rsidRPr="00504D79">
        <w:rPr>
          <w:sz w:val="24"/>
          <w:szCs w:val="24"/>
        </w:rPr>
        <w:t>’</w:t>
      </w:r>
      <w:r>
        <w:rPr>
          <w:sz w:val="24"/>
          <w:szCs w:val="24"/>
        </w:rPr>
        <w:t xml:space="preserve"> (1906-7)</w:t>
      </w:r>
      <w:r w:rsidRPr="00504D79">
        <w:rPr>
          <w:sz w:val="24"/>
          <w:szCs w:val="24"/>
        </w:rPr>
        <w:t>.</w:t>
      </w:r>
    </w:p>
    <w:p w:rsidR="00F914CD" w:rsidRPr="00504D79" w:rsidRDefault="00F914CD" w:rsidP="00F914CD">
      <w:pPr>
        <w:pStyle w:val="NoSpacing"/>
        <w:jc w:val="center"/>
        <w:rPr>
          <w:sz w:val="24"/>
          <w:szCs w:val="24"/>
        </w:rPr>
      </w:pPr>
      <w:r w:rsidRPr="00504D79">
        <w:rPr>
          <w:sz w:val="24"/>
          <w:szCs w:val="24"/>
        </w:rPr>
        <w:t>Den</w:t>
      </w:r>
      <w:r>
        <w:rPr>
          <w:sz w:val="24"/>
          <w:szCs w:val="24"/>
        </w:rPr>
        <w:t>ise Bazetoux; ill. 131</w:t>
      </w:r>
    </w:p>
    <w:p w:rsidR="00F914CD" w:rsidRPr="004F12D7" w:rsidRDefault="00F914CD" w:rsidP="00F914CD">
      <w:pPr>
        <w:pStyle w:val="NoSpacing"/>
        <w:jc w:val="center"/>
        <w:rPr>
          <w:sz w:val="24"/>
          <w:szCs w:val="24"/>
        </w:rPr>
      </w:pPr>
      <w:r w:rsidRPr="00504D79">
        <w:rPr>
          <w:sz w:val="24"/>
          <w:szCs w:val="24"/>
        </w:rPr>
        <w:t>‘Private collection’</w:t>
      </w:r>
    </w:p>
    <w:p w:rsidR="00F914CD" w:rsidRPr="005775DB" w:rsidRDefault="00F914CD" w:rsidP="00F914CD">
      <w:pPr>
        <w:pStyle w:val="NoSpacing"/>
        <w:rPr>
          <w:b/>
          <w:sz w:val="24"/>
          <w:szCs w:val="24"/>
          <w:u w:val="single"/>
        </w:rPr>
      </w:pPr>
      <w:r>
        <w:rPr>
          <w:b/>
          <w:sz w:val="24"/>
          <w:szCs w:val="24"/>
          <w:u w:val="single"/>
        </w:rPr>
        <w:lastRenderedPageBreak/>
        <w:t>N</w:t>
      </w:r>
      <w:r w:rsidRPr="005775DB">
        <w:rPr>
          <w:b/>
          <w:sz w:val="24"/>
          <w:szCs w:val="24"/>
          <w:u w:val="single"/>
        </w:rPr>
        <w:t>egative certificates</w:t>
      </w:r>
      <w:r>
        <w:rPr>
          <w:b/>
          <w:sz w:val="24"/>
          <w:szCs w:val="24"/>
          <w:u w:val="single"/>
        </w:rPr>
        <w:t xml:space="preserve"> of expertise</w:t>
      </w:r>
      <w:r w:rsidRPr="005775DB">
        <w:rPr>
          <w:b/>
          <w:sz w:val="24"/>
          <w:szCs w:val="24"/>
          <w:u w:val="single"/>
        </w:rPr>
        <w:t>.</w:t>
      </w:r>
    </w:p>
    <w:p w:rsidR="00F914CD" w:rsidRPr="00642582" w:rsidRDefault="00F914CD" w:rsidP="00F914CD">
      <w:pPr>
        <w:pStyle w:val="NoSpacing"/>
        <w:rPr>
          <w:rFonts w:cs="Helios"/>
          <w:color w:val="000000"/>
          <w:sz w:val="24"/>
          <w:szCs w:val="24"/>
        </w:rPr>
      </w:pPr>
    </w:p>
    <w:p w:rsidR="00F914CD" w:rsidRDefault="00F914CD" w:rsidP="00F914CD">
      <w:pPr>
        <w:pStyle w:val="NoSpacing"/>
        <w:jc w:val="both"/>
        <w:rPr>
          <w:rFonts w:cs="Helios"/>
          <w:color w:val="000000"/>
          <w:sz w:val="24"/>
          <w:szCs w:val="24"/>
        </w:rPr>
      </w:pPr>
      <w:r w:rsidRPr="00642582">
        <w:rPr>
          <w:rFonts w:cs="Helios"/>
          <w:color w:val="000000"/>
          <w:sz w:val="24"/>
          <w:szCs w:val="24"/>
        </w:rPr>
        <w:t>Whilst our doubts as to the authenticity of a whole section of works and the apparent absence of a responsible approach to the material chosen by these authors is based not only on artistic and art historical facts</w:t>
      </w:r>
      <w:r>
        <w:rPr>
          <w:rFonts w:cs="Helios"/>
          <w:color w:val="000000"/>
          <w:sz w:val="24"/>
          <w:szCs w:val="24"/>
        </w:rPr>
        <w:t>,</w:t>
      </w:r>
      <w:r w:rsidRPr="00642582">
        <w:rPr>
          <w:rFonts w:cs="Helios"/>
          <w:color w:val="000000"/>
          <w:sz w:val="24"/>
          <w:szCs w:val="24"/>
        </w:rPr>
        <w:t xml:space="preserve"> there is </w:t>
      </w:r>
      <w:r>
        <w:rPr>
          <w:rFonts w:cs="Helios"/>
          <w:color w:val="000000"/>
          <w:sz w:val="24"/>
          <w:szCs w:val="24"/>
        </w:rPr>
        <w:t xml:space="preserve">also </w:t>
      </w:r>
      <w:r w:rsidRPr="00642582">
        <w:rPr>
          <w:rFonts w:cs="Helios"/>
          <w:color w:val="000000"/>
          <w:sz w:val="24"/>
          <w:szCs w:val="24"/>
        </w:rPr>
        <w:t>further damning evidence.</w:t>
      </w:r>
    </w:p>
    <w:p w:rsidR="00F914CD" w:rsidRPr="00642582" w:rsidRDefault="00F914CD" w:rsidP="00F914CD">
      <w:pPr>
        <w:pStyle w:val="NoSpacing"/>
        <w:jc w:val="both"/>
        <w:rPr>
          <w:rFonts w:cs="Helios"/>
          <w:color w:val="000000"/>
          <w:sz w:val="24"/>
          <w:szCs w:val="24"/>
        </w:rPr>
      </w:pPr>
    </w:p>
    <w:p w:rsidR="00F914CD" w:rsidRDefault="00F914CD" w:rsidP="00F914CD">
      <w:pPr>
        <w:autoSpaceDE w:val="0"/>
        <w:autoSpaceDN w:val="0"/>
        <w:adjustRightInd w:val="0"/>
        <w:spacing w:after="0" w:line="240" w:lineRule="auto"/>
        <w:jc w:val="both"/>
        <w:rPr>
          <w:rFonts w:cs="Helios"/>
          <w:color w:val="000000"/>
          <w:sz w:val="24"/>
          <w:szCs w:val="24"/>
        </w:rPr>
      </w:pPr>
      <w:r>
        <w:rPr>
          <w:rFonts w:cs="Helios"/>
          <w:color w:val="000000"/>
          <w:sz w:val="24"/>
          <w:szCs w:val="24"/>
        </w:rPr>
        <w:t>Specialists from the Tretyakov Gallery which, it must be noted, holds the largest collection of works by the artist and her archives, travelled to Europe to view both ‘Still life with a coffee pot and fan’ (illustrated in figure 1) and ‘Still life with sunflowers’ (figure 7) and gave both paintings negative certificates of authenticity. Yet these paintings are reproduced in Anthony Parton’s book as genuine.</w:t>
      </w:r>
    </w:p>
    <w:p w:rsidR="00F914CD" w:rsidRDefault="00F914CD" w:rsidP="00F914CD">
      <w:pPr>
        <w:autoSpaceDE w:val="0"/>
        <w:autoSpaceDN w:val="0"/>
        <w:adjustRightInd w:val="0"/>
        <w:spacing w:after="0" w:line="240" w:lineRule="auto"/>
        <w:rPr>
          <w:rFonts w:cs="Helios"/>
          <w:color w:val="000000"/>
          <w:sz w:val="24"/>
          <w:szCs w:val="24"/>
        </w:rPr>
      </w:pPr>
    </w:p>
    <w:p w:rsidR="00F914CD" w:rsidRDefault="00F914CD" w:rsidP="00F914CD">
      <w:pPr>
        <w:autoSpaceDE w:val="0"/>
        <w:autoSpaceDN w:val="0"/>
        <w:adjustRightInd w:val="0"/>
        <w:spacing w:after="0" w:line="240" w:lineRule="auto"/>
        <w:jc w:val="center"/>
        <w:rPr>
          <w:rFonts w:cs="Helios"/>
          <w:color w:val="000000"/>
          <w:sz w:val="24"/>
          <w:szCs w:val="24"/>
        </w:rPr>
      </w:pPr>
      <w:r>
        <w:rPr>
          <w:noProof/>
          <w:lang w:eastAsia="en-GB"/>
        </w:rPr>
        <w:drawing>
          <wp:inline distT="0" distB="0" distL="0" distR="0" wp14:anchorId="59E2D2E4" wp14:editId="6DC16D76">
            <wp:extent cx="4227347" cy="3959525"/>
            <wp:effectExtent l="0" t="0" r="1905"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4225584" cy="3957874"/>
                    </a:xfrm>
                    <a:prstGeom prst="rect">
                      <a:avLst/>
                    </a:prstGeom>
                  </pic:spPr>
                </pic:pic>
              </a:graphicData>
            </a:graphic>
          </wp:inline>
        </w:drawing>
      </w:r>
    </w:p>
    <w:p w:rsidR="00F914CD" w:rsidRDefault="00F914CD" w:rsidP="00F914CD">
      <w:pPr>
        <w:pStyle w:val="NoSpacing"/>
        <w:jc w:val="center"/>
        <w:rPr>
          <w:b/>
          <w:sz w:val="24"/>
          <w:szCs w:val="24"/>
          <w:u w:val="single"/>
        </w:rPr>
      </w:pPr>
    </w:p>
    <w:p w:rsidR="00F914CD" w:rsidRPr="00504D79" w:rsidRDefault="00F914CD" w:rsidP="00F914CD">
      <w:pPr>
        <w:pStyle w:val="NoSpacing"/>
        <w:jc w:val="center"/>
        <w:rPr>
          <w:b/>
          <w:sz w:val="24"/>
          <w:szCs w:val="24"/>
          <w:u w:val="single"/>
        </w:rPr>
      </w:pPr>
      <w:r w:rsidRPr="00504D79">
        <w:rPr>
          <w:b/>
          <w:sz w:val="24"/>
          <w:szCs w:val="24"/>
          <w:u w:val="single"/>
        </w:rPr>
        <w:t xml:space="preserve">Figure </w:t>
      </w:r>
      <w:r>
        <w:rPr>
          <w:b/>
          <w:sz w:val="24"/>
          <w:szCs w:val="24"/>
          <w:u w:val="single"/>
        </w:rPr>
        <w:t>7</w:t>
      </w:r>
    </w:p>
    <w:p w:rsidR="00F914CD" w:rsidRPr="00504D79" w:rsidRDefault="00F914CD" w:rsidP="00F914CD">
      <w:pPr>
        <w:pStyle w:val="NoSpacing"/>
        <w:jc w:val="center"/>
        <w:rPr>
          <w:sz w:val="24"/>
          <w:szCs w:val="24"/>
        </w:rPr>
      </w:pPr>
      <w:r w:rsidRPr="00504D79">
        <w:rPr>
          <w:sz w:val="24"/>
          <w:szCs w:val="24"/>
        </w:rPr>
        <w:t>Natalia Goncharova (?)</w:t>
      </w:r>
    </w:p>
    <w:p w:rsidR="00F914CD" w:rsidRPr="00504D79" w:rsidRDefault="00F914CD" w:rsidP="00F914CD">
      <w:pPr>
        <w:pStyle w:val="NoSpacing"/>
        <w:jc w:val="center"/>
        <w:rPr>
          <w:sz w:val="24"/>
          <w:szCs w:val="24"/>
        </w:rPr>
      </w:pPr>
      <w:r w:rsidRPr="00504D79">
        <w:rPr>
          <w:sz w:val="24"/>
          <w:szCs w:val="24"/>
        </w:rPr>
        <w:t>‘</w:t>
      </w:r>
      <w:r>
        <w:rPr>
          <w:sz w:val="24"/>
          <w:szCs w:val="24"/>
        </w:rPr>
        <w:t>Still life with sun flowers’ (1909)</w:t>
      </w:r>
      <w:r w:rsidRPr="00504D79">
        <w:rPr>
          <w:sz w:val="24"/>
          <w:szCs w:val="24"/>
        </w:rPr>
        <w:t>.</w:t>
      </w:r>
    </w:p>
    <w:p w:rsidR="00F914CD" w:rsidRPr="00504D79" w:rsidRDefault="00F914CD" w:rsidP="00F914CD">
      <w:pPr>
        <w:pStyle w:val="NoSpacing"/>
        <w:jc w:val="center"/>
        <w:rPr>
          <w:sz w:val="24"/>
          <w:szCs w:val="24"/>
        </w:rPr>
      </w:pPr>
      <w:r>
        <w:rPr>
          <w:sz w:val="24"/>
          <w:szCs w:val="24"/>
        </w:rPr>
        <w:t>Anthony Parton; ill. 47</w:t>
      </w:r>
    </w:p>
    <w:p w:rsidR="00F914CD" w:rsidRDefault="00F914CD" w:rsidP="00F914CD">
      <w:pPr>
        <w:autoSpaceDE w:val="0"/>
        <w:autoSpaceDN w:val="0"/>
        <w:adjustRightInd w:val="0"/>
        <w:spacing w:after="0" w:line="240" w:lineRule="auto"/>
        <w:jc w:val="center"/>
        <w:rPr>
          <w:rFonts w:cs="Helios"/>
          <w:color w:val="000000"/>
          <w:sz w:val="24"/>
          <w:szCs w:val="24"/>
        </w:rPr>
      </w:pPr>
    </w:p>
    <w:p w:rsidR="00F914CD" w:rsidRDefault="00F914CD" w:rsidP="00F914CD">
      <w:pPr>
        <w:autoSpaceDE w:val="0"/>
        <w:autoSpaceDN w:val="0"/>
        <w:adjustRightInd w:val="0"/>
        <w:spacing w:after="0" w:line="240" w:lineRule="auto"/>
        <w:jc w:val="both"/>
        <w:rPr>
          <w:rFonts w:cs="Helios"/>
          <w:color w:val="000000"/>
          <w:sz w:val="24"/>
          <w:szCs w:val="24"/>
        </w:rPr>
      </w:pPr>
      <w:r>
        <w:rPr>
          <w:rFonts w:cs="Helios"/>
          <w:color w:val="000000"/>
          <w:sz w:val="24"/>
          <w:szCs w:val="24"/>
        </w:rPr>
        <w:t xml:space="preserve">It would be intriguing to know on what basis Anthony Parton authenticated these paintings and whether he is aware how his certificates, and those of Denise Bazetoux have been used as selling aids on the European art market? Indeed the question must be posed as to how many paintings by Goncharova Anthony Parton and Denise Bazetoux have actually physically seen, aside from photos? </w:t>
      </w:r>
    </w:p>
    <w:p w:rsidR="00F914CD" w:rsidRDefault="00F914CD" w:rsidP="00F914CD">
      <w:pPr>
        <w:autoSpaceDE w:val="0"/>
        <w:autoSpaceDN w:val="0"/>
        <w:adjustRightInd w:val="0"/>
        <w:spacing w:after="0" w:line="240" w:lineRule="auto"/>
        <w:jc w:val="both"/>
        <w:rPr>
          <w:rFonts w:cs="Helios"/>
          <w:color w:val="000000"/>
          <w:sz w:val="24"/>
          <w:szCs w:val="24"/>
        </w:rPr>
      </w:pPr>
    </w:p>
    <w:p w:rsidR="00F914CD" w:rsidRDefault="00F914CD" w:rsidP="00F914CD">
      <w:pPr>
        <w:autoSpaceDE w:val="0"/>
        <w:autoSpaceDN w:val="0"/>
        <w:adjustRightInd w:val="0"/>
        <w:spacing w:after="0" w:line="240" w:lineRule="auto"/>
        <w:jc w:val="both"/>
        <w:rPr>
          <w:rFonts w:cs="Helios"/>
          <w:color w:val="000000"/>
          <w:sz w:val="24"/>
          <w:szCs w:val="24"/>
        </w:rPr>
      </w:pPr>
      <w:r>
        <w:rPr>
          <w:rFonts w:cs="Helios"/>
          <w:color w:val="000000"/>
          <w:sz w:val="24"/>
          <w:szCs w:val="24"/>
        </w:rPr>
        <w:t>We make such an accusation as neither author has investigated the Goncharova archives at the Tretyakov Gallery were lies the bulk of the material relating to her.</w:t>
      </w:r>
    </w:p>
    <w:p w:rsidR="00F914CD" w:rsidRPr="005775DB" w:rsidRDefault="00F914CD" w:rsidP="00F914CD">
      <w:pPr>
        <w:autoSpaceDE w:val="0"/>
        <w:autoSpaceDN w:val="0"/>
        <w:adjustRightInd w:val="0"/>
        <w:spacing w:after="0" w:line="240" w:lineRule="auto"/>
        <w:jc w:val="both"/>
        <w:rPr>
          <w:rFonts w:cs="HeliosBlack"/>
          <w:b/>
          <w:sz w:val="24"/>
          <w:szCs w:val="24"/>
          <w:u w:val="single"/>
        </w:rPr>
      </w:pPr>
      <w:r>
        <w:rPr>
          <w:rFonts w:cs="HeliosBlack"/>
          <w:b/>
          <w:sz w:val="24"/>
          <w:szCs w:val="24"/>
        </w:rPr>
        <w:br w:type="page"/>
      </w:r>
      <w:r>
        <w:rPr>
          <w:rFonts w:cs="HeliosBlack"/>
          <w:b/>
          <w:sz w:val="24"/>
          <w:szCs w:val="24"/>
          <w:u w:val="single"/>
        </w:rPr>
        <w:lastRenderedPageBreak/>
        <w:t>P</w:t>
      </w:r>
      <w:r w:rsidRPr="005775DB">
        <w:rPr>
          <w:rFonts w:cs="HeliosBlack"/>
          <w:b/>
          <w:sz w:val="24"/>
          <w:szCs w:val="24"/>
          <w:u w:val="single"/>
        </w:rPr>
        <w:t>re-1915 paintings by Natalia Goncharova.</w:t>
      </w:r>
    </w:p>
    <w:p w:rsidR="00F914CD" w:rsidRPr="00504D79" w:rsidRDefault="00F914CD" w:rsidP="00F914CD">
      <w:pPr>
        <w:autoSpaceDE w:val="0"/>
        <w:autoSpaceDN w:val="0"/>
        <w:adjustRightInd w:val="0"/>
        <w:spacing w:after="0" w:line="240" w:lineRule="auto"/>
        <w:jc w:val="both"/>
        <w:rPr>
          <w:rFonts w:cs="HeliosBlack"/>
          <w:b/>
          <w:color w:val="000000"/>
          <w:sz w:val="24"/>
          <w:szCs w:val="24"/>
        </w:rPr>
      </w:pPr>
    </w:p>
    <w:p w:rsidR="00F914CD" w:rsidRPr="00504D79" w:rsidRDefault="00F914CD" w:rsidP="00F914CD">
      <w:pPr>
        <w:autoSpaceDE w:val="0"/>
        <w:autoSpaceDN w:val="0"/>
        <w:adjustRightInd w:val="0"/>
        <w:spacing w:after="0" w:line="240" w:lineRule="auto"/>
        <w:jc w:val="both"/>
        <w:rPr>
          <w:rFonts w:cs="Helios"/>
          <w:color w:val="000000"/>
          <w:sz w:val="24"/>
          <w:szCs w:val="24"/>
        </w:rPr>
      </w:pPr>
      <w:r w:rsidRPr="00504D79">
        <w:rPr>
          <w:rFonts w:cs="Helios"/>
          <w:color w:val="000000"/>
          <w:sz w:val="24"/>
          <w:szCs w:val="24"/>
        </w:rPr>
        <w:t xml:space="preserve">It is theoretically possible that original works by Goncharova created before 1915 with obscure provenance exist, but it is scarcely probable: this period has been well documented by contemporary art historians, whilst her work was actively exhibited and recorded in catalogues of the time. </w:t>
      </w:r>
    </w:p>
    <w:p w:rsidR="00F914CD" w:rsidRPr="00504D79" w:rsidRDefault="00F914CD" w:rsidP="00F914CD">
      <w:pPr>
        <w:autoSpaceDE w:val="0"/>
        <w:autoSpaceDN w:val="0"/>
        <w:adjustRightInd w:val="0"/>
        <w:spacing w:after="0" w:line="240" w:lineRule="auto"/>
        <w:jc w:val="both"/>
        <w:rPr>
          <w:rFonts w:cs="Helios"/>
          <w:color w:val="000000"/>
          <w:sz w:val="24"/>
          <w:szCs w:val="24"/>
        </w:rPr>
      </w:pPr>
    </w:p>
    <w:p w:rsidR="00F914CD" w:rsidRPr="00504D79" w:rsidRDefault="00F914CD" w:rsidP="00F914CD">
      <w:pPr>
        <w:autoSpaceDE w:val="0"/>
        <w:autoSpaceDN w:val="0"/>
        <w:adjustRightInd w:val="0"/>
        <w:spacing w:after="0" w:line="240" w:lineRule="auto"/>
        <w:jc w:val="both"/>
        <w:rPr>
          <w:rFonts w:cs="Helios"/>
          <w:color w:val="000000"/>
          <w:sz w:val="24"/>
          <w:szCs w:val="24"/>
        </w:rPr>
      </w:pPr>
      <w:r w:rsidRPr="00504D79">
        <w:rPr>
          <w:rFonts w:cs="Helios"/>
          <w:color w:val="000000"/>
          <w:sz w:val="24"/>
          <w:szCs w:val="24"/>
        </w:rPr>
        <w:t xml:space="preserve">There is an </w:t>
      </w:r>
      <w:r>
        <w:rPr>
          <w:rFonts w:cs="Helios"/>
          <w:color w:val="000000"/>
          <w:sz w:val="24"/>
          <w:szCs w:val="24"/>
        </w:rPr>
        <w:t xml:space="preserve">comprehensive, </w:t>
      </w:r>
      <w:r w:rsidRPr="00504D79">
        <w:rPr>
          <w:rFonts w:cs="Helios"/>
          <w:color w:val="000000"/>
          <w:sz w:val="24"/>
          <w:szCs w:val="24"/>
        </w:rPr>
        <w:t>authorized list of works by Goncharova published in the brochure by Eli Eganbyuri in 1913 and a further list of works made by N.D. Vinogradov. The fate of the artist’s works which were left in Russia after her emigration to France with Larionov is also well known.</w:t>
      </w:r>
    </w:p>
    <w:p w:rsidR="00F914CD" w:rsidRPr="00504D79" w:rsidRDefault="00F914CD" w:rsidP="00F914CD">
      <w:pPr>
        <w:autoSpaceDE w:val="0"/>
        <w:autoSpaceDN w:val="0"/>
        <w:adjustRightInd w:val="0"/>
        <w:spacing w:after="0" w:line="240" w:lineRule="auto"/>
        <w:jc w:val="both"/>
        <w:rPr>
          <w:rFonts w:cs="Helios"/>
          <w:color w:val="000000"/>
          <w:sz w:val="24"/>
          <w:szCs w:val="24"/>
        </w:rPr>
      </w:pPr>
    </w:p>
    <w:p w:rsidR="00F914CD" w:rsidRPr="00504D79" w:rsidRDefault="00F914CD" w:rsidP="00F914CD">
      <w:pPr>
        <w:autoSpaceDE w:val="0"/>
        <w:autoSpaceDN w:val="0"/>
        <w:adjustRightInd w:val="0"/>
        <w:spacing w:after="0" w:line="240" w:lineRule="auto"/>
        <w:jc w:val="both"/>
        <w:rPr>
          <w:rFonts w:cs="Helios"/>
          <w:color w:val="000000"/>
          <w:sz w:val="24"/>
          <w:szCs w:val="24"/>
        </w:rPr>
      </w:pPr>
      <w:r>
        <w:rPr>
          <w:rFonts w:cs="Helios"/>
          <w:color w:val="000000"/>
          <w:sz w:val="24"/>
          <w:szCs w:val="24"/>
        </w:rPr>
        <w:t>By way of an example as to our detailed knowledge of the movement of her paintings, i</w:t>
      </w:r>
      <w:r w:rsidRPr="00504D79">
        <w:rPr>
          <w:rFonts w:cs="Helios"/>
          <w:color w:val="000000"/>
          <w:sz w:val="24"/>
          <w:szCs w:val="24"/>
        </w:rPr>
        <w:t>n the Spring of 1914, Goncharova and her husband Larionov took about 50 of her paintings to Paris for their joint exhibition at the Paul Guillaume Gallery between 17th and 22nd June (there are actually 55 works of Goncharova). Of these paintings, 36 according to archive material at the Tretyakov Gallery from 1921, have special markings in German on the reverse and were returned to the artist in January 1921.</w:t>
      </w:r>
    </w:p>
    <w:p w:rsidR="00F914CD" w:rsidRPr="00504D79" w:rsidRDefault="00F914CD" w:rsidP="00F914CD">
      <w:pPr>
        <w:autoSpaceDE w:val="0"/>
        <w:autoSpaceDN w:val="0"/>
        <w:adjustRightInd w:val="0"/>
        <w:spacing w:after="0" w:line="240" w:lineRule="auto"/>
        <w:jc w:val="both"/>
        <w:rPr>
          <w:rFonts w:cs="Helios"/>
          <w:color w:val="000000"/>
          <w:sz w:val="24"/>
          <w:szCs w:val="24"/>
        </w:rPr>
      </w:pPr>
    </w:p>
    <w:p w:rsidR="00F914CD" w:rsidRPr="00504D79" w:rsidRDefault="00F914CD" w:rsidP="00F914CD">
      <w:pPr>
        <w:autoSpaceDE w:val="0"/>
        <w:autoSpaceDN w:val="0"/>
        <w:adjustRightInd w:val="0"/>
        <w:spacing w:after="0" w:line="240" w:lineRule="auto"/>
        <w:jc w:val="both"/>
        <w:rPr>
          <w:rFonts w:cs="Helios"/>
          <w:color w:val="000000"/>
          <w:sz w:val="24"/>
          <w:szCs w:val="24"/>
        </w:rPr>
      </w:pPr>
      <w:r w:rsidRPr="00504D79">
        <w:rPr>
          <w:rFonts w:cs="Helios"/>
          <w:color w:val="000000"/>
          <w:sz w:val="24"/>
          <w:szCs w:val="24"/>
        </w:rPr>
        <w:t xml:space="preserve">In 1915 Goncharova left Russia permanently and the greater part of her work was left in her Moscow flat. Between 1918 and 1919 some of the works were bought by the Department of Fine Arts of the People’s Commissariat for Enlightenment and were transferred to the Museum of Painting Culture. Later these works were handed over to the State Tretyakov Gallery and various provincial museums. Another significant part of their heritage was removed by N.D. Vinogradov, an architect, from the flat into the Moscow Depositary of Contemporary Art works founded by Vinogradov himself. On the reverse sides of these paintings special labels were stuck with the abbreviation of the depositary - ‘МХПСИ’, the first letters of the artists’ names ‘Г’ and ‘Л’ and numeration. </w:t>
      </w:r>
    </w:p>
    <w:p w:rsidR="00F914CD" w:rsidRPr="00504D79" w:rsidRDefault="00F914CD" w:rsidP="00F914CD">
      <w:pPr>
        <w:autoSpaceDE w:val="0"/>
        <w:autoSpaceDN w:val="0"/>
        <w:adjustRightInd w:val="0"/>
        <w:spacing w:after="0" w:line="240" w:lineRule="auto"/>
        <w:jc w:val="both"/>
        <w:rPr>
          <w:rFonts w:cs="Helios"/>
          <w:color w:val="000000"/>
          <w:sz w:val="24"/>
          <w:szCs w:val="24"/>
        </w:rPr>
      </w:pPr>
    </w:p>
    <w:p w:rsidR="00F914CD" w:rsidRPr="00504D79" w:rsidRDefault="00F914CD" w:rsidP="00F914CD">
      <w:pPr>
        <w:autoSpaceDE w:val="0"/>
        <w:autoSpaceDN w:val="0"/>
        <w:adjustRightInd w:val="0"/>
        <w:spacing w:after="0" w:line="240" w:lineRule="auto"/>
        <w:jc w:val="both"/>
        <w:rPr>
          <w:rFonts w:cs="Helios"/>
          <w:color w:val="000000"/>
          <w:sz w:val="24"/>
          <w:szCs w:val="24"/>
        </w:rPr>
      </w:pPr>
      <w:r w:rsidRPr="00504D79">
        <w:rPr>
          <w:rFonts w:cs="Helios"/>
          <w:color w:val="000000"/>
          <w:sz w:val="24"/>
          <w:szCs w:val="24"/>
        </w:rPr>
        <w:t>Between 1925-1926 the artist Lev Zhegin</w:t>
      </w:r>
      <w:r>
        <w:rPr>
          <w:rFonts w:cs="Helios"/>
          <w:color w:val="000000"/>
          <w:sz w:val="24"/>
          <w:szCs w:val="24"/>
        </w:rPr>
        <w:t>,</w:t>
      </w:r>
      <w:r w:rsidRPr="00504D79">
        <w:rPr>
          <w:rFonts w:cs="Helios"/>
          <w:color w:val="000000"/>
          <w:sz w:val="24"/>
          <w:szCs w:val="24"/>
        </w:rPr>
        <w:t xml:space="preserve"> acting on Larionov’s instructions, organized</w:t>
      </w:r>
      <w:r>
        <w:rPr>
          <w:rFonts w:cs="Helios"/>
          <w:color w:val="000000"/>
          <w:sz w:val="24"/>
          <w:szCs w:val="24"/>
        </w:rPr>
        <w:t xml:space="preserve"> </w:t>
      </w:r>
      <w:r w:rsidRPr="00504D79">
        <w:rPr>
          <w:rFonts w:cs="Helios"/>
          <w:color w:val="000000"/>
          <w:sz w:val="24"/>
          <w:szCs w:val="24"/>
        </w:rPr>
        <w:t>the shipment of these works to Paris. ‘Before transportation on the reverse of both Larionov’s and Goncharova’s paintings were inscriptions with the consignee’s name (purportedly in Zhegin’s hand): ‘Larionow’ and ‘Ларионов (this referred to the addressee as opposed to the author)’’ writes Irina Vakar, a senior specialist of the State Tretyakov Gallery on Russian Art of the first half of the 20th century.</w:t>
      </w:r>
    </w:p>
    <w:p w:rsidR="00F914CD" w:rsidRPr="00504D79" w:rsidRDefault="00F914CD" w:rsidP="00F914CD">
      <w:pPr>
        <w:autoSpaceDE w:val="0"/>
        <w:autoSpaceDN w:val="0"/>
        <w:adjustRightInd w:val="0"/>
        <w:spacing w:after="0" w:line="240" w:lineRule="auto"/>
        <w:jc w:val="both"/>
        <w:rPr>
          <w:rFonts w:cs="Helios"/>
          <w:color w:val="000000"/>
          <w:sz w:val="24"/>
          <w:szCs w:val="24"/>
        </w:rPr>
      </w:pPr>
    </w:p>
    <w:p w:rsidR="00F914CD" w:rsidRPr="00504D79" w:rsidRDefault="00F914CD" w:rsidP="00F914CD">
      <w:pPr>
        <w:autoSpaceDE w:val="0"/>
        <w:autoSpaceDN w:val="0"/>
        <w:adjustRightInd w:val="0"/>
        <w:spacing w:after="0" w:line="240" w:lineRule="auto"/>
        <w:jc w:val="both"/>
        <w:rPr>
          <w:rFonts w:cs="Helios"/>
          <w:color w:val="000000"/>
          <w:sz w:val="24"/>
          <w:szCs w:val="24"/>
        </w:rPr>
      </w:pPr>
      <w:r w:rsidRPr="00504D79">
        <w:rPr>
          <w:rFonts w:cs="Helios"/>
          <w:color w:val="000000"/>
          <w:sz w:val="24"/>
          <w:szCs w:val="24"/>
        </w:rPr>
        <w:t xml:space="preserve">Thus, most of the works created before 1915 have special marks on the reverse of the paintings. In the publications by Anthony Parton and Denise Bazetoux this vital information is often missed. These characteristic inscriptions, marks and stickers, well-known to specialists, could have thrown light on the movement and exhibition history of these questionable works. </w:t>
      </w:r>
    </w:p>
    <w:p w:rsidR="00F914CD" w:rsidRDefault="00F914CD" w:rsidP="00F914CD">
      <w:pPr>
        <w:autoSpaceDE w:val="0"/>
        <w:autoSpaceDN w:val="0"/>
        <w:adjustRightInd w:val="0"/>
        <w:spacing w:after="0" w:line="240" w:lineRule="auto"/>
        <w:jc w:val="both"/>
        <w:rPr>
          <w:rFonts w:cs="Helios"/>
          <w:color w:val="000000"/>
          <w:sz w:val="24"/>
          <w:szCs w:val="24"/>
        </w:rPr>
      </w:pPr>
    </w:p>
    <w:p w:rsidR="00F914CD" w:rsidRPr="00504D79" w:rsidRDefault="00F914CD" w:rsidP="00F914CD">
      <w:pPr>
        <w:autoSpaceDE w:val="0"/>
        <w:autoSpaceDN w:val="0"/>
        <w:adjustRightInd w:val="0"/>
        <w:spacing w:after="0" w:line="240" w:lineRule="auto"/>
        <w:jc w:val="both"/>
        <w:rPr>
          <w:rFonts w:cs="Helios"/>
          <w:color w:val="000000"/>
          <w:sz w:val="24"/>
          <w:szCs w:val="24"/>
        </w:rPr>
      </w:pPr>
    </w:p>
    <w:p w:rsidR="00F914CD" w:rsidRPr="00504D79" w:rsidRDefault="00F914CD" w:rsidP="00F914CD">
      <w:pPr>
        <w:autoSpaceDE w:val="0"/>
        <w:autoSpaceDN w:val="0"/>
        <w:adjustRightInd w:val="0"/>
        <w:spacing w:after="0" w:line="240" w:lineRule="auto"/>
        <w:jc w:val="both"/>
        <w:rPr>
          <w:rFonts w:cs="Helios"/>
          <w:color w:val="000000"/>
          <w:sz w:val="24"/>
          <w:szCs w:val="24"/>
        </w:rPr>
      </w:pPr>
      <w:r>
        <w:rPr>
          <w:rFonts w:cs="Helios"/>
          <w:color w:val="000000"/>
          <w:sz w:val="24"/>
          <w:szCs w:val="24"/>
        </w:rPr>
        <w:t>Could</w:t>
      </w:r>
      <w:r w:rsidRPr="00504D79">
        <w:rPr>
          <w:rFonts w:cs="Helios"/>
          <w:color w:val="000000"/>
          <w:sz w:val="24"/>
          <w:szCs w:val="24"/>
        </w:rPr>
        <w:t xml:space="preserve"> one make an educated guess at the reason for the absence of such information?!</w:t>
      </w:r>
    </w:p>
    <w:p w:rsidR="00F914CD" w:rsidRDefault="00F914CD" w:rsidP="00F914CD">
      <w:pPr>
        <w:rPr>
          <w:rFonts w:cs="HeliosBlack"/>
          <w:b/>
          <w:sz w:val="24"/>
          <w:szCs w:val="24"/>
        </w:rPr>
      </w:pPr>
      <w:r>
        <w:rPr>
          <w:rFonts w:cs="HeliosBlack"/>
          <w:b/>
          <w:sz w:val="24"/>
          <w:szCs w:val="24"/>
        </w:rPr>
        <w:br w:type="page"/>
      </w:r>
    </w:p>
    <w:p w:rsidR="00F914CD" w:rsidRPr="00B60379" w:rsidRDefault="00F914CD" w:rsidP="00F914CD">
      <w:pPr>
        <w:autoSpaceDE w:val="0"/>
        <w:autoSpaceDN w:val="0"/>
        <w:adjustRightInd w:val="0"/>
        <w:spacing w:after="0" w:line="240" w:lineRule="auto"/>
        <w:jc w:val="both"/>
        <w:rPr>
          <w:rFonts w:cs="HeliosBlack"/>
          <w:b/>
          <w:sz w:val="24"/>
          <w:szCs w:val="24"/>
          <w:u w:val="single"/>
        </w:rPr>
      </w:pPr>
      <w:r w:rsidRPr="00B60379">
        <w:rPr>
          <w:rFonts w:cs="HeliosBlack"/>
          <w:b/>
          <w:sz w:val="24"/>
          <w:szCs w:val="24"/>
          <w:u w:val="single"/>
        </w:rPr>
        <w:lastRenderedPageBreak/>
        <w:t>Total absence of credible provenance or exhibition history</w:t>
      </w:r>
    </w:p>
    <w:p w:rsidR="00F914CD" w:rsidRPr="004F12D7" w:rsidRDefault="00F914CD" w:rsidP="00F914CD">
      <w:pPr>
        <w:autoSpaceDE w:val="0"/>
        <w:autoSpaceDN w:val="0"/>
        <w:adjustRightInd w:val="0"/>
        <w:spacing w:after="0" w:line="240" w:lineRule="auto"/>
        <w:jc w:val="both"/>
        <w:rPr>
          <w:rFonts w:cs="HeliosBlack"/>
          <w:b/>
          <w:sz w:val="24"/>
          <w:szCs w:val="24"/>
        </w:rPr>
      </w:pPr>
    </w:p>
    <w:p w:rsidR="00F914CD" w:rsidRDefault="00F914CD" w:rsidP="00F914CD">
      <w:pPr>
        <w:autoSpaceDE w:val="0"/>
        <w:autoSpaceDN w:val="0"/>
        <w:adjustRightInd w:val="0"/>
        <w:spacing w:after="0" w:line="240" w:lineRule="auto"/>
        <w:jc w:val="both"/>
        <w:rPr>
          <w:rFonts w:cs="HeliosBlack"/>
          <w:sz w:val="24"/>
          <w:szCs w:val="24"/>
        </w:rPr>
      </w:pPr>
      <w:r>
        <w:rPr>
          <w:rFonts w:cs="HeliosBlack"/>
          <w:sz w:val="24"/>
          <w:szCs w:val="24"/>
        </w:rPr>
        <w:t>We have already examined the stylistic and historical factors behind our accusations. The total absence of provenance with these dubious paintings is another part of our argument. Most dealers or experts working in any field of the arts will tell you that ‘miracles do not happen’ or, if they do, it is on a very rare basis. Yet here we have 150 ‘miracles’, a statistic unheard of in the history of the art market which the authors and the organisation that represents them, INCORM, seek to convince us is the truth? Let us examine just one painting to show the total absence of provenance, exhibition history and compare it with paintings which are held by museums and beyond any dispute.</w:t>
      </w:r>
    </w:p>
    <w:p w:rsidR="00F914CD" w:rsidRDefault="00F914CD" w:rsidP="00F914CD">
      <w:pPr>
        <w:autoSpaceDE w:val="0"/>
        <w:autoSpaceDN w:val="0"/>
        <w:adjustRightInd w:val="0"/>
        <w:spacing w:after="0" w:line="240" w:lineRule="auto"/>
        <w:jc w:val="both"/>
        <w:rPr>
          <w:rFonts w:cs="HeliosBlack"/>
          <w:sz w:val="24"/>
          <w:szCs w:val="24"/>
        </w:rPr>
      </w:pPr>
    </w:p>
    <w:tbl>
      <w:tblPr>
        <w:tblStyle w:val="TableGrid"/>
        <w:tblW w:w="0" w:type="auto"/>
        <w:tblLook w:val="04A0" w:firstRow="1" w:lastRow="0" w:firstColumn="1" w:lastColumn="0" w:noHBand="0" w:noVBand="1"/>
      </w:tblPr>
      <w:tblGrid>
        <w:gridCol w:w="4179"/>
        <w:gridCol w:w="5063"/>
      </w:tblGrid>
      <w:tr w:rsidR="00F914CD" w:rsidRPr="00514055" w:rsidTr="006A36EE">
        <w:tc>
          <w:tcPr>
            <w:tcW w:w="7087" w:type="dxa"/>
          </w:tcPr>
          <w:p w:rsidR="00F914CD" w:rsidRPr="00514055" w:rsidRDefault="00F914CD" w:rsidP="006A36EE">
            <w:pPr>
              <w:jc w:val="center"/>
              <w:rPr>
                <w:noProof/>
                <w:lang w:eastAsia="en-GB"/>
              </w:rPr>
            </w:pPr>
            <w:r w:rsidRPr="00514055">
              <w:rPr>
                <w:noProof/>
                <w:lang w:eastAsia="en-GB"/>
              </w:rPr>
              <w:br w:type="page"/>
            </w:r>
            <w:r w:rsidRPr="00514055">
              <w:rPr>
                <w:noProof/>
                <w:lang w:eastAsia="en-GB"/>
              </w:rPr>
              <w:br w:type="page"/>
            </w:r>
          </w:p>
          <w:p w:rsidR="00F914CD" w:rsidRPr="00514055" w:rsidRDefault="00F914CD" w:rsidP="006A36EE">
            <w:pPr>
              <w:jc w:val="center"/>
              <w:rPr>
                <w:noProof/>
                <w:lang w:eastAsia="en-GB"/>
              </w:rPr>
            </w:pPr>
          </w:p>
          <w:p w:rsidR="00F914CD" w:rsidRDefault="00F914CD" w:rsidP="006A36EE">
            <w:pPr>
              <w:jc w:val="center"/>
              <w:rPr>
                <w:noProof/>
                <w:lang w:eastAsia="en-GB"/>
              </w:rPr>
            </w:pPr>
            <w:r w:rsidRPr="00514055">
              <w:rPr>
                <w:noProof/>
                <w:lang w:eastAsia="en-GB"/>
              </w:rPr>
              <w:drawing>
                <wp:inline distT="0" distB="0" distL="0" distR="0" wp14:anchorId="0FDE81F6" wp14:editId="662C61C7">
                  <wp:extent cx="2235448" cy="44958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87.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235448" cy="4495800"/>
                          </a:xfrm>
                          <a:prstGeom prst="rect">
                            <a:avLst/>
                          </a:prstGeom>
                        </pic:spPr>
                      </pic:pic>
                    </a:graphicData>
                  </a:graphic>
                </wp:inline>
              </w:drawing>
            </w:r>
          </w:p>
          <w:p w:rsidR="00F914CD" w:rsidRPr="00514055" w:rsidRDefault="00F914CD" w:rsidP="006A36EE">
            <w:pPr>
              <w:jc w:val="center"/>
              <w:rPr>
                <w:noProof/>
                <w:lang w:eastAsia="en-GB"/>
              </w:rPr>
            </w:pPr>
          </w:p>
        </w:tc>
        <w:tc>
          <w:tcPr>
            <w:tcW w:w="7087" w:type="dxa"/>
          </w:tcPr>
          <w:p w:rsidR="00F914CD" w:rsidRPr="00514055" w:rsidRDefault="00F914CD" w:rsidP="006A36EE">
            <w:pPr>
              <w:jc w:val="center"/>
              <w:rPr>
                <w:noProof/>
                <w:lang w:eastAsia="en-GB"/>
              </w:rPr>
            </w:pPr>
          </w:p>
          <w:p w:rsidR="00F914CD" w:rsidRPr="00514055" w:rsidRDefault="00F914CD" w:rsidP="006A36EE">
            <w:pPr>
              <w:jc w:val="center"/>
              <w:rPr>
                <w:noProof/>
                <w:lang w:eastAsia="en-GB"/>
              </w:rPr>
            </w:pPr>
          </w:p>
          <w:p w:rsidR="00F914CD" w:rsidRPr="00514055" w:rsidRDefault="00F914CD" w:rsidP="006A36EE">
            <w:pPr>
              <w:jc w:val="center"/>
              <w:rPr>
                <w:noProof/>
                <w:lang w:eastAsia="en-GB"/>
              </w:rPr>
            </w:pPr>
            <w:r w:rsidRPr="00514055">
              <w:rPr>
                <w:noProof/>
                <w:lang w:eastAsia="en-GB"/>
              </w:rPr>
              <w:drawing>
                <wp:inline distT="0" distB="0" distL="0" distR="0" wp14:anchorId="0DA8320A" wp14:editId="0894697A">
                  <wp:extent cx="2882702" cy="3519578"/>
                  <wp:effectExtent l="0" t="0" r="0" b="508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86.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82702" cy="3519578"/>
                          </a:xfrm>
                          <a:prstGeom prst="rect">
                            <a:avLst/>
                          </a:prstGeom>
                        </pic:spPr>
                      </pic:pic>
                    </a:graphicData>
                  </a:graphic>
                </wp:inline>
              </w:drawing>
            </w:r>
          </w:p>
          <w:p w:rsidR="00F914CD" w:rsidRPr="00514055" w:rsidRDefault="00F914CD" w:rsidP="006A36EE">
            <w:pPr>
              <w:rPr>
                <w:noProof/>
                <w:lang w:eastAsia="en-GB"/>
              </w:rPr>
            </w:pPr>
          </w:p>
        </w:tc>
      </w:tr>
    </w:tbl>
    <w:p w:rsidR="00F914CD" w:rsidRDefault="00F914CD" w:rsidP="00F914CD">
      <w:pPr>
        <w:autoSpaceDE w:val="0"/>
        <w:autoSpaceDN w:val="0"/>
        <w:adjustRightInd w:val="0"/>
        <w:spacing w:after="0" w:line="240" w:lineRule="auto"/>
        <w:jc w:val="both"/>
        <w:rPr>
          <w:rFonts w:cs="HeliosBlack"/>
          <w:sz w:val="24"/>
          <w:szCs w:val="24"/>
        </w:rPr>
      </w:pPr>
    </w:p>
    <w:p w:rsidR="00F914CD" w:rsidRDefault="00F914CD" w:rsidP="00F914CD">
      <w:pPr>
        <w:autoSpaceDE w:val="0"/>
        <w:autoSpaceDN w:val="0"/>
        <w:adjustRightInd w:val="0"/>
        <w:spacing w:after="0" w:line="240" w:lineRule="auto"/>
        <w:jc w:val="both"/>
        <w:rPr>
          <w:rFonts w:cs="HeliosBlack"/>
          <w:sz w:val="24"/>
          <w:szCs w:val="24"/>
        </w:rPr>
      </w:pPr>
      <w:r>
        <w:rPr>
          <w:rFonts w:cs="HeliosBlack"/>
          <w:sz w:val="24"/>
          <w:szCs w:val="24"/>
        </w:rPr>
        <w:t>With the dubious painting on the right a Western art historian has used two words, ‘private collection’, which could refer to just about anyone and anywhere, as a provenance for a seemingly important futurist painting of the 1910’s. Taking into account the numerous exhibitions of Goncharova’s work, how is it that such an ‘important’ painting has never been before exhibited? Indeed how is it that none of the mystery 150 have ever been shown publicly? What possible set of circumstances are there? As the authors and INCORM have resolutely refused to answer, or avoided, our questions since 2011 we can only guess. That time is at an end.</w:t>
      </w:r>
    </w:p>
    <w:p w:rsidR="00F914CD" w:rsidRDefault="00F914CD" w:rsidP="00F914CD">
      <w:pPr>
        <w:autoSpaceDE w:val="0"/>
        <w:autoSpaceDN w:val="0"/>
        <w:adjustRightInd w:val="0"/>
        <w:spacing w:after="0" w:line="240" w:lineRule="auto"/>
        <w:jc w:val="both"/>
        <w:rPr>
          <w:rFonts w:cs="HeliosBlack"/>
          <w:sz w:val="24"/>
          <w:szCs w:val="24"/>
        </w:rPr>
      </w:pPr>
    </w:p>
    <w:p w:rsidR="00F914CD" w:rsidRPr="00B60379" w:rsidRDefault="00F914CD" w:rsidP="00F914CD">
      <w:pPr>
        <w:autoSpaceDE w:val="0"/>
        <w:autoSpaceDN w:val="0"/>
        <w:adjustRightInd w:val="0"/>
        <w:spacing w:after="0" w:line="240" w:lineRule="auto"/>
        <w:jc w:val="both"/>
        <w:rPr>
          <w:rFonts w:cs="HeliosBlack"/>
          <w:b/>
          <w:sz w:val="24"/>
          <w:szCs w:val="24"/>
          <w:u w:val="single"/>
        </w:rPr>
      </w:pPr>
      <w:r w:rsidRPr="00B60379">
        <w:rPr>
          <w:rFonts w:cs="HeliosBlack"/>
          <w:b/>
          <w:sz w:val="24"/>
          <w:szCs w:val="24"/>
          <w:u w:val="single"/>
        </w:rPr>
        <w:t>The artist parodied.</w:t>
      </w:r>
    </w:p>
    <w:p w:rsidR="00F914CD" w:rsidRDefault="00F914CD" w:rsidP="00F914CD">
      <w:pPr>
        <w:spacing w:before="100" w:beforeAutospacing="1" w:after="100" w:afterAutospacing="1" w:line="240" w:lineRule="auto"/>
        <w:jc w:val="both"/>
        <w:rPr>
          <w:rFonts w:eastAsia="Times New Roman" w:cs="Times New Roman"/>
          <w:sz w:val="24"/>
          <w:szCs w:val="24"/>
          <w:lang w:eastAsia="en-GB"/>
        </w:rPr>
      </w:pPr>
      <w:r w:rsidRPr="003A4B09">
        <w:rPr>
          <w:rFonts w:eastAsia="Times New Roman" w:cs="Times New Roman"/>
          <w:sz w:val="24"/>
          <w:szCs w:val="24"/>
          <w:lang w:eastAsia="en-GB"/>
        </w:rPr>
        <w:t>“</w:t>
      </w:r>
      <w:r>
        <w:rPr>
          <w:rFonts w:eastAsia="Times New Roman" w:cs="Times New Roman"/>
          <w:sz w:val="24"/>
          <w:szCs w:val="24"/>
          <w:lang w:eastAsia="en-GB"/>
        </w:rPr>
        <w:t xml:space="preserve">We </w:t>
      </w:r>
      <w:r w:rsidRPr="003A4B09">
        <w:rPr>
          <w:rFonts w:eastAsia="Times New Roman" w:cs="Times New Roman"/>
          <w:sz w:val="24"/>
          <w:szCs w:val="24"/>
          <w:lang w:eastAsia="en-GB"/>
        </w:rPr>
        <w:t>consider that the publication of Professor Parton’s book to be unforgiveable: Insulting, as it does the memory of great artists who are not in a position to stand up for themselves and need us to defend them”</w:t>
      </w:r>
      <w:r>
        <w:rPr>
          <w:rFonts w:eastAsia="Times New Roman" w:cs="Times New Roman"/>
          <w:sz w:val="24"/>
          <w:szCs w:val="24"/>
          <w:lang w:eastAsia="en-GB"/>
        </w:rPr>
        <w:t>. Irina Vakar’s words may sound strong but are relatively weak when stacked up against the evidence of appalling versions of ‘Wrestlers’ and ‘Cyclist’ reproduced in these two books.</w:t>
      </w:r>
    </w:p>
    <w:p w:rsidR="00F914CD" w:rsidRDefault="00F914CD" w:rsidP="00F914CD">
      <w:pPr>
        <w:spacing w:before="100" w:beforeAutospacing="1" w:after="100" w:afterAutospacing="1" w:line="240" w:lineRule="auto"/>
        <w:jc w:val="center"/>
        <w:rPr>
          <w:rFonts w:eastAsia="Times New Roman" w:cs="Times New Roman"/>
          <w:sz w:val="24"/>
          <w:szCs w:val="24"/>
          <w:lang w:eastAsia="en-GB"/>
        </w:rPr>
      </w:pPr>
      <w:r>
        <w:rPr>
          <w:rFonts w:eastAsia="Times New Roman" w:cs="Times New Roman"/>
          <w:b/>
          <w:noProof/>
          <w:sz w:val="24"/>
          <w:szCs w:val="24"/>
          <w:u w:val="single"/>
          <w:lang w:eastAsia="en-GB"/>
        </w:rPr>
        <w:drawing>
          <wp:inline distT="0" distB="0" distL="0" distR="0" wp14:anchorId="23B735CB" wp14:editId="46976D69">
            <wp:extent cx="2273969" cy="2713463"/>
            <wp:effectExtent l="0" t="0" r="0" b="0"/>
            <wp:docPr id="82" name="Picture 82" descr="C:\Users\James Butterwick\Pictures\Fakes lecture\img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James Butterwick\Pictures\Fakes lecture\img06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280764" cy="2721572"/>
                    </a:xfrm>
                    <a:prstGeom prst="rect">
                      <a:avLst/>
                    </a:prstGeom>
                    <a:noFill/>
                    <a:ln>
                      <a:noFill/>
                    </a:ln>
                  </pic:spPr>
                </pic:pic>
              </a:graphicData>
            </a:graphic>
          </wp:inline>
        </w:drawing>
      </w:r>
    </w:p>
    <w:p w:rsidR="00F914CD" w:rsidRPr="005F059E" w:rsidRDefault="00F914CD" w:rsidP="00F914CD">
      <w:pPr>
        <w:pStyle w:val="NoSpacing"/>
        <w:jc w:val="center"/>
        <w:rPr>
          <w:b/>
          <w:sz w:val="24"/>
          <w:szCs w:val="24"/>
        </w:rPr>
      </w:pPr>
      <w:r w:rsidRPr="005F059E">
        <w:rPr>
          <w:b/>
          <w:sz w:val="24"/>
          <w:szCs w:val="24"/>
        </w:rPr>
        <w:t>Figure 8</w:t>
      </w:r>
    </w:p>
    <w:p w:rsidR="00F914CD" w:rsidRPr="00504D79" w:rsidRDefault="00F914CD" w:rsidP="00F914CD">
      <w:pPr>
        <w:pStyle w:val="NoSpacing"/>
        <w:jc w:val="center"/>
        <w:rPr>
          <w:sz w:val="24"/>
          <w:szCs w:val="24"/>
        </w:rPr>
      </w:pPr>
      <w:r w:rsidRPr="00504D79">
        <w:rPr>
          <w:sz w:val="24"/>
          <w:szCs w:val="24"/>
        </w:rPr>
        <w:t>Natalia Goncharo</w:t>
      </w:r>
      <w:r>
        <w:rPr>
          <w:sz w:val="24"/>
          <w:szCs w:val="24"/>
        </w:rPr>
        <w:t>va</w:t>
      </w:r>
    </w:p>
    <w:p w:rsidR="00F914CD" w:rsidRPr="00504D79" w:rsidRDefault="00F914CD" w:rsidP="00F914CD">
      <w:pPr>
        <w:pStyle w:val="NoSpacing"/>
        <w:jc w:val="center"/>
        <w:rPr>
          <w:sz w:val="24"/>
          <w:szCs w:val="24"/>
        </w:rPr>
      </w:pPr>
      <w:r>
        <w:rPr>
          <w:sz w:val="24"/>
          <w:szCs w:val="24"/>
        </w:rPr>
        <w:t>‘Wrestlers’ (1908-09)</w:t>
      </w:r>
    </w:p>
    <w:p w:rsidR="00F914CD" w:rsidRPr="005F059E" w:rsidRDefault="00F914CD" w:rsidP="00F914CD">
      <w:pPr>
        <w:jc w:val="center"/>
        <w:rPr>
          <w:rFonts w:eastAsia="Times New Roman" w:cs="Times New Roman"/>
          <w:sz w:val="24"/>
          <w:szCs w:val="24"/>
          <w:lang w:eastAsia="en-GB"/>
        </w:rPr>
      </w:pPr>
      <w:r>
        <w:rPr>
          <w:rFonts w:eastAsia="Times New Roman" w:cs="Times New Roman"/>
          <w:sz w:val="24"/>
          <w:szCs w:val="24"/>
          <w:lang w:eastAsia="en-GB"/>
        </w:rPr>
        <w:t>Pompidou Centre</w:t>
      </w:r>
      <w:r w:rsidRPr="005F059E">
        <w:rPr>
          <w:rFonts w:eastAsia="Times New Roman" w:cs="Times New Roman"/>
          <w:sz w:val="24"/>
          <w:szCs w:val="24"/>
          <w:lang w:eastAsia="en-GB"/>
        </w:rPr>
        <w:t>, Paris</w:t>
      </w:r>
    </w:p>
    <w:p w:rsidR="00F914CD" w:rsidRDefault="00F914CD" w:rsidP="00F914CD">
      <w:pPr>
        <w:jc w:val="center"/>
        <w:rPr>
          <w:rFonts w:eastAsia="Times New Roman" w:cs="Times New Roman"/>
          <w:b/>
          <w:sz w:val="24"/>
          <w:szCs w:val="24"/>
          <w:u w:val="single"/>
          <w:lang w:eastAsia="en-GB"/>
        </w:rPr>
      </w:pPr>
      <w:r>
        <w:rPr>
          <w:rFonts w:eastAsia="Times New Roman" w:cs="Times New Roman"/>
          <w:b/>
          <w:noProof/>
          <w:sz w:val="24"/>
          <w:szCs w:val="24"/>
          <w:u w:val="single"/>
          <w:lang w:eastAsia="en-GB"/>
        </w:rPr>
        <w:drawing>
          <wp:inline distT="0" distB="0" distL="0" distR="0" wp14:anchorId="16AAD900" wp14:editId="33538B8D">
            <wp:extent cx="2835866" cy="2354977"/>
            <wp:effectExtent l="0" t="0" r="3175" b="7620"/>
            <wp:docPr id="83" name="Picture 83" descr="C:\Users\James Butterwick\Pictures\Fakes lecture\img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James Butterwick\Pictures\Fakes lecture\img098.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32796" cy="2352427"/>
                    </a:xfrm>
                    <a:prstGeom prst="rect">
                      <a:avLst/>
                    </a:prstGeom>
                    <a:noFill/>
                    <a:ln>
                      <a:noFill/>
                    </a:ln>
                  </pic:spPr>
                </pic:pic>
              </a:graphicData>
            </a:graphic>
          </wp:inline>
        </w:drawing>
      </w:r>
    </w:p>
    <w:p w:rsidR="00F914CD" w:rsidRDefault="00F914CD" w:rsidP="00F914CD">
      <w:pPr>
        <w:pStyle w:val="NoSpacing"/>
        <w:jc w:val="center"/>
        <w:rPr>
          <w:b/>
          <w:sz w:val="24"/>
          <w:szCs w:val="24"/>
        </w:rPr>
      </w:pPr>
      <w:r>
        <w:rPr>
          <w:b/>
          <w:sz w:val="24"/>
          <w:szCs w:val="24"/>
        </w:rPr>
        <w:t>Figure 9</w:t>
      </w:r>
    </w:p>
    <w:p w:rsidR="00F914CD" w:rsidRPr="00504D79" w:rsidRDefault="00F914CD" w:rsidP="00F914CD">
      <w:pPr>
        <w:pStyle w:val="NoSpacing"/>
        <w:jc w:val="center"/>
        <w:rPr>
          <w:sz w:val="24"/>
          <w:szCs w:val="24"/>
        </w:rPr>
      </w:pPr>
      <w:r w:rsidRPr="00504D79">
        <w:rPr>
          <w:sz w:val="24"/>
          <w:szCs w:val="24"/>
        </w:rPr>
        <w:t>Natalia Goncharo</w:t>
      </w:r>
      <w:r>
        <w:rPr>
          <w:sz w:val="24"/>
          <w:szCs w:val="24"/>
        </w:rPr>
        <w:t>va</w:t>
      </w:r>
    </w:p>
    <w:p w:rsidR="00F914CD" w:rsidRDefault="00F914CD" w:rsidP="00F914CD">
      <w:pPr>
        <w:pStyle w:val="NoSpacing"/>
        <w:jc w:val="center"/>
        <w:rPr>
          <w:sz w:val="24"/>
          <w:szCs w:val="24"/>
        </w:rPr>
      </w:pPr>
      <w:r>
        <w:rPr>
          <w:sz w:val="24"/>
          <w:szCs w:val="24"/>
        </w:rPr>
        <w:t>‘Wrestlers’ (1909-10)</w:t>
      </w:r>
    </w:p>
    <w:p w:rsidR="00F914CD" w:rsidRPr="005F059E" w:rsidRDefault="00F914CD" w:rsidP="00F914CD">
      <w:pPr>
        <w:pStyle w:val="NoSpacing"/>
        <w:jc w:val="center"/>
        <w:rPr>
          <w:sz w:val="24"/>
          <w:szCs w:val="24"/>
        </w:rPr>
      </w:pPr>
      <w:r w:rsidRPr="005F059E">
        <w:rPr>
          <w:rFonts w:eastAsia="Times New Roman" w:cs="Times New Roman"/>
          <w:sz w:val="24"/>
          <w:szCs w:val="24"/>
          <w:lang w:eastAsia="en-GB"/>
        </w:rPr>
        <w:t>State Russian Museum, St. Petersburg</w:t>
      </w:r>
    </w:p>
    <w:p w:rsidR="00F914CD" w:rsidRDefault="00F914CD" w:rsidP="00F914CD">
      <w:pPr>
        <w:spacing w:before="100" w:beforeAutospacing="1" w:after="100" w:afterAutospacing="1" w:line="240" w:lineRule="auto"/>
        <w:jc w:val="both"/>
        <w:rPr>
          <w:rFonts w:eastAsia="Times New Roman" w:cs="Times New Roman"/>
          <w:sz w:val="24"/>
          <w:szCs w:val="24"/>
          <w:lang w:eastAsia="en-GB"/>
        </w:rPr>
      </w:pPr>
      <w:r>
        <w:rPr>
          <w:rFonts w:eastAsia="Times New Roman" w:cs="Times New Roman"/>
          <w:sz w:val="24"/>
          <w:szCs w:val="24"/>
          <w:lang w:eastAsia="en-GB"/>
        </w:rPr>
        <w:lastRenderedPageBreak/>
        <w:t xml:space="preserve">It beggars belief, not just stylistically, to see a third version of ‘Wrestlers’, passed off as being by the brush of Goncharova by Anthony Parton. With no provenance and exhibition history, something of which we are becoming all-too familiar, this wooden, colour-free version becomes a veritable pastiche when set alongside the detail of a 1910 photograph that has clearly been used as its inspiration. </w:t>
      </w:r>
    </w:p>
    <w:p w:rsidR="00F914CD" w:rsidRDefault="00F914CD" w:rsidP="00F914CD">
      <w:pPr>
        <w:spacing w:before="100" w:beforeAutospacing="1" w:after="100" w:afterAutospacing="1" w:line="240" w:lineRule="auto"/>
        <w:jc w:val="center"/>
        <w:rPr>
          <w:rFonts w:eastAsia="Times New Roman" w:cs="Times New Roman"/>
          <w:sz w:val="24"/>
          <w:szCs w:val="24"/>
          <w:lang w:eastAsia="en-GB"/>
        </w:rPr>
      </w:pPr>
      <w:r>
        <w:rPr>
          <w:rFonts w:eastAsia="Times New Roman" w:cs="Times New Roman"/>
          <w:b/>
          <w:noProof/>
          <w:sz w:val="24"/>
          <w:szCs w:val="24"/>
          <w:u w:val="single"/>
          <w:lang w:eastAsia="en-GB"/>
        </w:rPr>
        <w:drawing>
          <wp:inline distT="0" distB="0" distL="0" distR="0" wp14:anchorId="236D9722" wp14:editId="3E4BC0C1">
            <wp:extent cx="3562709" cy="2661295"/>
            <wp:effectExtent l="0" t="0" r="0" b="5715"/>
            <wp:docPr id="86" name="Picture 86" descr="C:\Users\James Butterwick\Pictures\Fakes lecture\img3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James Butterwick\Pictures\Fakes lecture\img36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558177" cy="2657910"/>
                    </a:xfrm>
                    <a:prstGeom prst="rect">
                      <a:avLst/>
                    </a:prstGeom>
                    <a:noFill/>
                    <a:ln>
                      <a:noFill/>
                    </a:ln>
                  </pic:spPr>
                </pic:pic>
              </a:graphicData>
            </a:graphic>
          </wp:inline>
        </w:drawing>
      </w:r>
    </w:p>
    <w:p w:rsidR="00F914CD" w:rsidRPr="00AD0D72" w:rsidRDefault="00F914CD" w:rsidP="00F914CD">
      <w:pPr>
        <w:pStyle w:val="NoSpacing"/>
        <w:jc w:val="center"/>
        <w:rPr>
          <w:b/>
          <w:sz w:val="24"/>
          <w:szCs w:val="24"/>
        </w:rPr>
      </w:pPr>
      <w:r w:rsidRPr="00AD0D72">
        <w:rPr>
          <w:b/>
          <w:sz w:val="24"/>
          <w:szCs w:val="24"/>
        </w:rPr>
        <w:t>Figure 10</w:t>
      </w:r>
    </w:p>
    <w:p w:rsidR="00F914CD" w:rsidRPr="00504D79" w:rsidRDefault="00F914CD" w:rsidP="00F914CD">
      <w:pPr>
        <w:pStyle w:val="NoSpacing"/>
        <w:jc w:val="center"/>
        <w:rPr>
          <w:sz w:val="24"/>
          <w:szCs w:val="24"/>
        </w:rPr>
      </w:pPr>
      <w:r w:rsidRPr="00504D79">
        <w:rPr>
          <w:sz w:val="24"/>
          <w:szCs w:val="24"/>
        </w:rPr>
        <w:t>Natalia Goncharova (?)</w:t>
      </w:r>
    </w:p>
    <w:p w:rsidR="00F914CD" w:rsidRPr="00504D79" w:rsidRDefault="00F914CD" w:rsidP="00F914CD">
      <w:pPr>
        <w:pStyle w:val="NoSpacing"/>
        <w:jc w:val="center"/>
        <w:rPr>
          <w:sz w:val="24"/>
          <w:szCs w:val="24"/>
        </w:rPr>
      </w:pPr>
      <w:r w:rsidRPr="00504D79">
        <w:rPr>
          <w:sz w:val="24"/>
          <w:szCs w:val="24"/>
        </w:rPr>
        <w:t>‘</w:t>
      </w:r>
      <w:r>
        <w:rPr>
          <w:sz w:val="24"/>
          <w:szCs w:val="24"/>
        </w:rPr>
        <w:t>Wrestlers’ (1900-10)</w:t>
      </w:r>
      <w:r w:rsidRPr="00504D79">
        <w:rPr>
          <w:sz w:val="24"/>
          <w:szCs w:val="24"/>
        </w:rPr>
        <w:t>.</w:t>
      </w:r>
    </w:p>
    <w:p w:rsidR="00F914CD" w:rsidRPr="00504D79" w:rsidRDefault="00F914CD" w:rsidP="00F914CD">
      <w:pPr>
        <w:pStyle w:val="NoSpacing"/>
        <w:jc w:val="center"/>
        <w:rPr>
          <w:sz w:val="24"/>
          <w:szCs w:val="24"/>
        </w:rPr>
      </w:pPr>
      <w:r>
        <w:rPr>
          <w:sz w:val="24"/>
          <w:szCs w:val="24"/>
        </w:rPr>
        <w:t>Anthony Parton; ill. 124</w:t>
      </w:r>
    </w:p>
    <w:p w:rsidR="00F914CD" w:rsidRPr="004F12D7" w:rsidRDefault="00F914CD" w:rsidP="00F914CD">
      <w:pPr>
        <w:pStyle w:val="NoSpacing"/>
        <w:jc w:val="center"/>
        <w:rPr>
          <w:sz w:val="24"/>
          <w:szCs w:val="24"/>
        </w:rPr>
      </w:pPr>
      <w:r w:rsidRPr="00504D79">
        <w:rPr>
          <w:sz w:val="24"/>
          <w:szCs w:val="24"/>
        </w:rPr>
        <w:t>‘Private collection’</w:t>
      </w:r>
    </w:p>
    <w:p w:rsidR="00F914CD" w:rsidRDefault="00F914CD" w:rsidP="00F914CD">
      <w:pPr>
        <w:spacing w:before="100" w:beforeAutospacing="1" w:after="100" w:afterAutospacing="1" w:line="240" w:lineRule="auto"/>
        <w:ind w:firstLine="150"/>
        <w:jc w:val="center"/>
        <w:rPr>
          <w:rFonts w:eastAsia="Times New Roman" w:cs="Times New Roman"/>
          <w:b/>
          <w:sz w:val="24"/>
          <w:szCs w:val="24"/>
          <w:lang w:eastAsia="en-GB"/>
        </w:rPr>
      </w:pPr>
      <w:r>
        <w:rPr>
          <w:rFonts w:eastAsia="Times New Roman" w:cs="Times New Roman"/>
          <w:b/>
          <w:noProof/>
          <w:sz w:val="24"/>
          <w:szCs w:val="24"/>
          <w:lang w:eastAsia="en-GB"/>
        </w:rPr>
        <w:drawing>
          <wp:inline distT="0" distB="0" distL="0" distR="0" wp14:anchorId="2670D790" wp14:editId="520A68B5">
            <wp:extent cx="3877608" cy="2708694"/>
            <wp:effectExtent l="0" t="0" r="8890" b="0"/>
            <wp:docPr id="6" name="Picture 6" descr="C:\Users\James Butterwick\Pictures\Fakes lecture\img362 - Copy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mes Butterwick\Pictures\Fakes lecture\img362 - Copy - Copy.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79522" cy="2710031"/>
                    </a:xfrm>
                    <a:prstGeom prst="rect">
                      <a:avLst/>
                    </a:prstGeom>
                    <a:noFill/>
                    <a:ln>
                      <a:noFill/>
                    </a:ln>
                  </pic:spPr>
                </pic:pic>
              </a:graphicData>
            </a:graphic>
          </wp:inline>
        </w:drawing>
      </w:r>
    </w:p>
    <w:p w:rsidR="00F914CD" w:rsidRPr="002312BF" w:rsidRDefault="00F914CD" w:rsidP="00F914CD">
      <w:pPr>
        <w:spacing w:before="100" w:beforeAutospacing="1" w:after="100" w:afterAutospacing="1" w:line="240" w:lineRule="auto"/>
        <w:ind w:firstLine="150"/>
        <w:jc w:val="center"/>
        <w:rPr>
          <w:rFonts w:eastAsia="Times New Roman" w:cs="Times New Roman"/>
          <w:sz w:val="24"/>
          <w:szCs w:val="24"/>
          <w:lang w:eastAsia="en-GB"/>
        </w:rPr>
      </w:pPr>
      <w:r w:rsidRPr="002312BF">
        <w:rPr>
          <w:rFonts w:eastAsia="Times New Roman" w:cs="Times New Roman"/>
          <w:sz w:val="24"/>
          <w:szCs w:val="24"/>
          <w:lang w:eastAsia="en-GB"/>
        </w:rPr>
        <w:t>Photograph of the 1910 All-Russian championship of French wrestling.</w:t>
      </w:r>
    </w:p>
    <w:p w:rsidR="00F914CD" w:rsidRPr="00B60379" w:rsidRDefault="00F914CD" w:rsidP="00F914CD">
      <w:pPr>
        <w:spacing w:before="100" w:beforeAutospacing="1" w:after="100" w:afterAutospacing="1" w:line="240" w:lineRule="auto"/>
        <w:jc w:val="center"/>
        <w:rPr>
          <w:rFonts w:eastAsia="Times New Roman" w:cs="Times New Roman"/>
          <w:b/>
          <w:i/>
          <w:sz w:val="24"/>
          <w:szCs w:val="24"/>
          <w:lang w:eastAsia="en-GB"/>
        </w:rPr>
      </w:pPr>
      <w:r w:rsidRPr="00B60379">
        <w:rPr>
          <w:rFonts w:eastAsia="Times New Roman" w:cs="Times New Roman"/>
          <w:b/>
          <w:i/>
          <w:sz w:val="24"/>
          <w:szCs w:val="24"/>
          <w:lang w:eastAsia="en-GB"/>
        </w:rPr>
        <w:t>“A photograph literally cut, pasted and transferred onto canvas.”</w:t>
      </w:r>
    </w:p>
    <w:p w:rsidR="00F914CD" w:rsidRPr="00DF7A23" w:rsidRDefault="00F914CD" w:rsidP="00F914CD">
      <w:pPr>
        <w:spacing w:before="100" w:beforeAutospacing="1" w:after="100" w:afterAutospacing="1" w:line="240" w:lineRule="auto"/>
        <w:rPr>
          <w:rFonts w:eastAsia="Times New Roman" w:cs="Times New Roman"/>
          <w:b/>
          <w:sz w:val="24"/>
          <w:szCs w:val="24"/>
          <w:u w:val="single"/>
          <w:lang w:eastAsia="en-GB"/>
        </w:rPr>
      </w:pPr>
      <w:r w:rsidRPr="00DF7A23">
        <w:rPr>
          <w:rFonts w:eastAsia="Times New Roman" w:cs="Times New Roman"/>
          <w:b/>
          <w:sz w:val="24"/>
          <w:szCs w:val="24"/>
          <w:u w:val="single"/>
          <w:lang w:eastAsia="en-GB"/>
        </w:rPr>
        <w:lastRenderedPageBreak/>
        <w:t>The artist ridiculed</w:t>
      </w:r>
    </w:p>
    <w:p w:rsidR="00F914CD" w:rsidRPr="00B60379" w:rsidRDefault="00F914CD" w:rsidP="00F914CD">
      <w:pPr>
        <w:spacing w:before="100" w:beforeAutospacing="1" w:after="100" w:afterAutospacing="1" w:line="240" w:lineRule="auto"/>
        <w:jc w:val="center"/>
        <w:rPr>
          <w:rFonts w:eastAsia="Times New Roman" w:cs="Times New Roman"/>
          <w:b/>
          <w:i/>
          <w:sz w:val="24"/>
          <w:szCs w:val="24"/>
          <w:lang w:eastAsia="en-GB"/>
        </w:rPr>
      </w:pPr>
      <w:r w:rsidRPr="00B60379">
        <w:rPr>
          <w:rFonts w:eastAsia="Times New Roman" w:cs="Times New Roman"/>
          <w:b/>
          <w:i/>
          <w:sz w:val="24"/>
          <w:szCs w:val="24"/>
          <w:lang w:eastAsia="en-GB"/>
        </w:rPr>
        <w:t>“Her contemporaries were struck by the diversity of her work, the richness of fantasy. She hardly ever repeated a composition” Irina Vakar</w:t>
      </w:r>
    </w:p>
    <w:p w:rsidR="00F914CD" w:rsidRDefault="00F914CD" w:rsidP="00F914CD">
      <w:pPr>
        <w:jc w:val="center"/>
        <w:rPr>
          <w:rFonts w:eastAsia="Times New Roman" w:cs="Times New Roman"/>
          <w:sz w:val="24"/>
          <w:szCs w:val="24"/>
          <w:lang w:eastAsia="en-GB"/>
        </w:rPr>
      </w:pPr>
      <w:r>
        <w:rPr>
          <w:noProof/>
          <w:lang w:eastAsia="en-GB"/>
        </w:rPr>
        <w:drawing>
          <wp:inline distT="0" distB="0" distL="0" distR="0" wp14:anchorId="65741A2D" wp14:editId="321D11E8">
            <wp:extent cx="2721159" cy="2068949"/>
            <wp:effectExtent l="0" t="0" r="3175" b="7620"/>
            <wp:docPr id="90" name="Picture 90" descr="http://futurismrus.narod.ru/images/pictgall/29artfu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futurismrus.narod.ru/images/pictgall/29artfut2.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27157" cy="2073509"/>
                    </a:xfrm>
                    <a:prstGeom prst="rect">
                      <a:avLst/>
                    </a:prstGeom>
                    <a:noFill/>
                    <a:ln>
                      <a:noFill/>
                    </a:ln>
                  </pic:spPr>
                </pic:pic>
              </a:graphicData>
            </a:graphic>
          </wp:inline>
        </w:drawing>
      </w:r>
    </w:p>
    <w:p w:rsidR="00F914CD" w:rsidRDefault="00F914CD" w:rsidP="00F914CD">
      <w:pPr>
        <w:pStyle w:val="NoSpacing"/>
        <w:jc w:val="center"/>
        <w:rPr>
          <w:b/>
          <w:sz w:val="24"/>
          <w:szCs w:val="24"/>
        </w:rPr>
      </w:pPr>
      <w:r>
        <w:rPr>
          <w:b/>
          <w:sz w:val="24"/>
          <w:szCs w:val="24"/>
        </w:rPr>
        <w:t>Figure 11</w:t>
      </w:r>
    </w:p>
    <w:p w:rsidR="00F914CD" w:rsidRPr="00504D79" w:rsidRDefault="00F914CD" w:rsidP="00F914CD">
      <w:pPr>
        <w:pStyle w:val="NoSpacing"/>
        <w:jc w:val="center"/>
        <w:rPr>
          <w:sz w:val="24"/>
          <w:szCs w:val="24"/>
        </w:rPr>
      </w:pPr>
      <w:r w:rsidRPr="00504D79">
        <w:rPr>
          <w:sz w:val="24"/>
          <w:szCs w:val="24"/>
        </w:rPr>
        <w:t>Natalia Goncharo</w:t>
      </w:r>
      <w:r>
        <w:rPr>
          <w:sz w:val="24"/>
          <w:szCs w:val="24"/>
        </w:rPr>
        <w:t>va</w:t>
      </w:r>
    </w:p>
    <w:p w:rsidR="00F914CD" w:rsidRDefault="00F914CD" w:rsidP="00F914CD">
      <w:pPr>
        <w:pStyle w:val="NoSpacing"/>
        <w:jc w:val="center"/>
        <w:rPr>
          <w:sz w:val="24"/>
          <w:szCs w:val="24"/>
        </w:rPr>
      </w:pPr>
      <w:r>
        <w:rPr>
          <w:sz w:val="24"/>
          <w:szCs w:val="24"/>
        </w:rPr>
        <w:t>‘Cyclist’ (1911-12)</w:t>
      </w:r>
    </w:p>
    <w:p w:rsidR="00F914CD" w:rsidRPr="005F059E" w:rsidRDefault="00F914CD" w:rsidP="00F914CD">
      <w:pPr>
        <w:pStyle w:val="NoSpacing"/>
        <w:jc w:val="center"/>
        <w:rPr>
          <w:sz w:val="24"/>
          <w:szCs w:val="24"/>
        </w:rPr>
      </w:pPr>
      <w:r w:rsidRPr="005F059E">
        <w:rPr>
          <w:rFonts w:eastAsia="Times New Roman" w:cs="Times New Roman"/>
          <w:sz w:val="24"/>
          <w:szCs w:val="24"/>
          <w:lang w:eastAsia="en-GB"/>
        </w:rPr>
        <w:t>State Russian Museum, St. Petersburg</w:t>
      </w:r>
    </w:p>
    <w:p w:rsidR="00F914CD" w:rsidRDefault="00F914CD" w:rsidP="00F914CD">
      <w:pPr>
        <w:autoSpaceDE w:val="0"/>
        <w:autoSpaceDN w:val="0"/>
        <w:adjustRightInd w:val="0"/>
        <w:spacing w:after="0" w:line="240" w:lineRule="auto"/>
        <w:rPr>
          <w:rFonts w:cs="HeliosBlack"/>
          <w:color w:val="000000"/>
          <w:sz w:val="24"/>
          <w:szCs w:val="24"/>
        </w:rPr>
      </w:pPr>
    </w:p>
    <w:tbl>
      <w:tblPr>
        <w:tblStyle w:val="TableGrid"/>
        <w:tblW w:w="0" w:type="auto"/>
        <w:tblLook w:val="04A0" w:firstRow="1" w:lastRow="0" w:firstColumn="1" w:lastColumn="0" w:noHBand="0" w:noVBand="1"/>
      </w:tblPr>
      <w:tblGrid>
        <w:gridCol w:w="4834"/>
        <w:gridCol w:w="4408"/>
      </w:tblGrid>
      <w:tr w:rsidR="00F914CD" w:rsidRPr="00514055" w:rsidTr="006A36EE">
        <w:tc>
          <w:tcPr>
            <w:tcW w:w="7087" w:type="dxa"/>
          </w:tcPr>
          <w:p w:rsidR="00F914CD" w:rsidRDefault="00F914CD" w:rsidP="006A36EE">
            <w:pPr>
              <w:jc w:val="center"/>
              <w:rPr>
                <w:rFonts w:eastAsia="Times New Roman" w:cs="Times New Roman"/>
                <w:b/>
                <w:sz w:val="24"/>
                <w:szCs w:val="24"/>
                <w:u w:val="single"/>
                <w:lang w:eastAsia="en-GB"/>
              </w:rPr>
            </w:pPr>
            <w:r w:rsidRPr="00514055">
              <w:rPr>
                <w:rFonts w:eastAsia="Times New Roman" w:cs="Times New Roman"/>
                <w:b/>
                <w:sz w:val="24"/>
                <w:szCs w:val="24"/>
                <w:u w:val="single"/>
                <w:lang w:eastAsia="en-GB"/>
              </w:rPr>
              <w:br w:type="page"/>
            </w:r>
          </w:p>
          <w:p w:rsidR="00F914CD" w:rsidRDefault="00F914CD" w:rsidP="006A36EE">
            <w:pPr>
              <w:jc w:val="center"/>
              <w:rPr>
                <w:rFonts w:eastAsia="Times New Roman" w:cs="Times New Roman"/>
                <w:b/>
                <w:sz w:val="24"/>
                <w:szCs w:val="24"/>
                <w:u w:val="single"/>
                <w:lang w:eastAsia="en-GB"/>
              </w:rPr>
            </w:pPr>
            <w:r>
              <w:rPr>
                <w:rFonts w:eastAsia="Times New Roman" w:cs="Times New Roman"/>
                <w:noProof/>
                <w:sz w:val="24"/>
                <w:szCs w:val="24"/>
                <w:lang w:eastAsia="en-GB"/>
              </w:rPr>
              <w:drawing>
                <wp:inline distT="0" distB="0" distL="0" distR="0" wp14:anchorId="1AF721CA" wp14:editId="15D81315">
                  <wp:extent cx="2733054" cy="3554083"/>
                  <wp:effectExtent l="0" t="0" r="0" b="8890"/>
                  <wp:docPr id="87" name="Picture 87" descr="C:\Users\James Butterwick\Pictures\Fakes lecture\img3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James Butterwick\Pictures\Fakes lecture\img377.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33235" cy="3554319"/>
                          </a:xfrm>
                          <a:prstGeom prst="rect">
                            <a:avLst/>
                          </a:prstGeom>
                          <a:noFill/>
                          <a:ln>
                            <a:noFill/>
                          </a:ln>
                        </pic:spPr>
                      </pic:pic>
                    </a:graphicData>
                  </a:graphic>
                </wp:inline>
              </w:drawing>
            </w:r>
          </w:p>
          <w:p w:rsidR="00F914CD" w:rsidRPr="00514055" w:rsidRDefault="00F914CD" w:rsidP="006A36EE">
            <w:pPr>
              <w:jc w:val="center"/>
              <w:rPr>
                <w:rFonts w:eastAsia="Times New Roman" w:cs="Times New Roman"/>
                <w:b/>
                <w:sz w:val="24"/>
                <w:szCs w:val="24"/>
                <w:u w:val="single"/>
                <w:lang w:eastAsia="en-GB"/>
              </w:rPr>
            </w:pPr>
          </w:p>
        </w:tc>
        <w:tc>
          <w:tcPr>
            <w:tcW w:w="7087" w:type="dxa"/>
          </w:tcPr>
          <w:p w:rsidR="00F914CD" w:rsidRDefault="00F914CD" w:rsidP="006A36EE">
            <w:pPr>
              <w:jc w:val="center"/>
              <w:rPr>
                <w:rFonts w:eastAsia="Times New Roman" w:cs="Times New Roman"/>
                <w:b/>
                <w:sz w:val="24"/>
                <w:szCs w:val="24"/>
                <w:u w:val="single"/>
                <w:lang w:eastAsia="en-GB"/>
              </w:rPr>
            </w:pPr>
          </w:p>
          <w:p w:rsidR="00F914CD" w:rsidRDefault="00F914CD" w:rsidP="006A36EE">
            <w:pPr>
              <w:jc w:val="center"/>
              <w:rPr>
                <w:rFonts w:eastAsia="Times New Roman" w:cs="Times New Roman"/>
                <w:b/>
                <w:sz w:val="24"/>
                <w:szCs w:val="24"/>
                <w:u w:val="single"/>
                <w:lang w:eastAsia="en-GB"/>
              </w:rPr>
            </w:pPr>
            <w:r>
              <w:rPr>
                <w:noProof/>
                <w:lang w:eastAsia="en-GB"/>
              </w:rPr>
              <w:drawing>
                <wp:inline distT="0" distB="0" distL="0" distR="0" wp14:anchorId="3C17A537" wp14:editId="722A0F43">
                  <wp:extent cx="2425164" cy="3450566"/>
                  <wp:effectExtent l="0" t="0" r="0" b="0"/>
                  <wp:docPr id="102" name="Picture 102" descr="C:\Users\James Butterwick\Pictures\Fakes lecture\img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Users\James Butterwick\Pictures\Fakes lecture\img057.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25788" cy="3451454"/>
                          </a:xfrm>
                          <a:prstGeom prst="rect">
                            <a:avLst/>
                          </a:prstGeom>
                          <a:noFill/>
                          <a:ln>
                            <a:noFill/>
                          </a:ln>
                        </pic:spPr>
                      </pic:pic>
                    </a:graphicData>
                  </a:graphic>
                </wp:inline>
              </w:drawing>
            </w:r>
          </w:p>
          <w:p w:rsidR="00F914CD" w:rsidRPr="00514055" w:rsidRDefault="00F914CD" w:rsidP="006A36EE">
            <w:pPr>
              <w:jc w:val="center"/>
              <w:rPr>
                <w:rFonts w:eastAsia="Times New Roman" w:cs="Times New Roman"/>
                <w:b/>
                <w:sz w:val="24"/>
                <w:szCs w:val="24"/>
                <w:u w:val="single"/>
                <w:lang w:eastAsia="en-GB"/>
              </w:rPr>
            </w:pPr>
          </w:p>
        </w:tc>
      </w:tr>
    </w:tbl>
    <w:p w:rsidR="00F914CD" w:rsidRDefault="00F914CD" w:rsidP="00F914CD">
      <w:pPr>
        <w:autoSpaceDE w:val="0"/>
        <w:autoSpaceDN w:val="0"/>
        <w:adjustRightInd w:val="0"/>
        <w:spacing w:after="0" w:line="240" w:lineRule="auto"/>
        <w:jc w:val="both"/>
        <w:rPr>
          <w:rFonts w:cs="Calibri"/>
          <w:color w:val="000000"/>
          <w:sz w:val="24"/>
          <w:szCs w:val="24"/>
        </w:rPr>
      </w:pPr>
    </w:p>
    <w:p w:rsidR="00F914CD" w:rsidRDefault="00F914CD" w:rsidP="00F914CD">
      <w:pPr>
        <w:pStyle w:val="NoSpacing"/>
        <w:jc w:val="center"/>
        <w:rPr>
          <w:rFonts w:cs="Calibri"/>
          <w:color w:val="000000"/>
          <w:sz w:val="24"/>
          <w:szCs w:val="24"/>
        </w:rPr>
      </w:pPr>
      <w:r>
        <w:rPr>
          <w:b/>
          <w:sz w:val="24"/>
          <w:szCs w:val="24"/>
        </w:rPr>
        <w:t>Figure 12</w:t>
      </w:r>
    </w:p>
    <w:p w:rsidR="00F914CD" w:rsidRDefault="00F914CD" w:rsidP="00F914CD">
      <w:pPr>
        <w:autoSpaceDE w:val="0"/>
        <w:autoSpaceDN w:val="0"/>
        <w:adjustRightInd w:val="0"/>
        <w:spacing w:after="0" w:line="240" w:lineRule="auto"/>
        <w:jc w:val="center"/>
        <w:rPr>
          <w:rFonts w:cs="Helios"/>
          <w:color w:val="000000"/>
          <w:sz w:val="24"/>
          <w:szCs w:val="24"/>
        </w:rPr>
      </w:pPr>
      <w:r>
        <w:rPr>
          <w:rFonts w:cs="Calibri"/>
          <w:color w:val="000000"/>
          <w:sz w:val="24"/>
          <w:szCs w:val="24"/>
        </w:rPr>
        <w:t xml:space="preserve">Denise Bazetoux, </w:t>
      </w:r>
      <w:r w:rsidRPr="00504D79">
        <w:rPr>
          <w:rFonts w:cs="Helios"/>
          <w:color w:val="000000"/>
          <w:sz w:val="24"/>
          <w:szCs w:val="24"/>
        </w:rPr>
        <w:t>‘Natalia Goncharova</w:t>
      </w:r>
      <w:r>
        <w:rPr>
          <w:rFonts w:cs="Helios"/>
          <w:color w:val="000000"/>
          <w:sz w:val="24"/>
          <w:szCs w:val="24"/>
        </w:rPr>
        <w:t>. H</w:t>
      </w:r>
      <w:r w:rsidRPr="00504D79">
        <w:rPr>
          <w:rFonts w:cs="Helios"/>
          <w:color w:val="000000"/>
          <w:sz w:val="24"/>
          <w:szCs w:val="24"/>
        </w:rPr>
        <w:t>er oeuvre, between tradition and modernity’</w:t>
      </w:r>
    </w:p>
    <w:p w:rsidR="00F914CD" w:rsidRDefault="00F914CD" w:rsidP="00F914CD">
      <w:pPr>
        <w:autoSpaceDE w:val="0"/>
        <w:autoSpaceDN w:val="0"/>
        <w:adjustRightInd w:val="0"/>
        <w:spacing w:after="0" w:line="240" w:lineRule="auto"/>
        <w:jc w:val="center"/>
        <w:rPr>
          <w:rFonts w:cs="Calibri"/>
          <w:color w:val="000000"/>
          <w:sz w:val="24"/>
          <w:szCs w:val="24"/>
        </w:rPr>
      </w:pPr>
      <w:r>
        <w:rPr>
          <w:rFonts w:cs="Calibri"/>
          <w:color w:val="000000"/>
          <w:sz w:val="24"/>
          <w:szCs w:val="24"/>
        </w:rPr>
        <w:t>page 309, illustrations 765-769, 771-772.</w:t>
      </w:r>
    </w:p>
    <w:p w:rsidR="00F914CD" w:rsidRDefault="00F914CD" w:rsidP="00F914CD">
      <w:pPr>
        <w:autoSpaceDE w:val="0"/>
        <w:autoSpaceDN w:val="0"/>
        <w:adjustRightInd w:val="0"/>
        <w:spacing w:after="0" w:line="240" w:lineRule="auto"/>
        <w:jc w:val="both"/>
        <w:rPr>
          <w:rFonts w:cs="Calibri"/>
          <w:color w:val="000000"/>
          <w:sz w:val="24"/>
          <w:szCs w:val="24"/>
        </w:rPr>
      </w:pPr>
      <w:r>
        <w:rPr>
          <w:rFonts w:cs="Calibri"/>
          <w:color w:val="000000"/>
          <w:sz w:val="24"/>
          <w:szCs w:val="24"/>
        </w:rPr>
        <w:lastRenderedPageBreak/>
        <w:t xml:space="preserve">Figure 12 is surely the most damning piece of evidence in this pamphlet? It is a known fact that Goncharova hardly ever repeated a composition and yet here we have seven versions on a theme. So primitive is the attempt to connive the viewer that we have a series of bicycles going in a different direction from the original, various automobiles going from right to left on a variety of backgrounds and, absurdly, what is probably the first representation of the pushbike in Western Art history. Figure 12 also shows that every one of the seven to have the same non-provenance, ‘private collection’. Why was not one of these miracles exhibited in Goncharova’s lifetime? Is Western Art history really so backward as to believe that an artist as revolutionary as Goncharova created seven paintings on the same theme in the space of a couple of years? </w:t>
      </w:r>
    </w:p>
    <w:p w:rsidR="00F914CD" w:rsidRDefault="00F914CD" w:rsidP="00F914CD">
      <w:pPr>
        <w:autoSpaceDE w:val="0"/>
        <w:autoSpaceDN w:val="0"/>
        <w:adjustRightInd w:val="0"/>
        <w:spacing w:after="0" w:line="240" w:lineRule="auto"/>
        <w:jc w:val="both"/>
        <w:rPr>
          <w:rFonts w:cs="Calibri"/>
          <w:color w:val="000000"/>
          <w:sz w:val="24"/>
          <w:szCs w:val="24"/>
        </w:rPr>
      </w:pPr>
    </w:p>
    <w:p w:rsidR="00F914CD" w:rsidRPr="005775DB" w:rsidRDefault="00F914CD" w:rsidP="00F914CD">
      <w:pPr>
        <w:pStyle w:val="NoSpacing"/>
        <w:rPr>
          <w:b/>
          <w:sz w:val="24"/>
          <w:szCs w:val="24"/>
          <w:u w:val="single"/>
        </w:rPr>
      </w:pPr>
      <w:r>
        <w:rPr>
          <w:b/>
          <w:sz w:val="24"/>
          <w:szCs w:val="24"/>
          <w:u w:val="single"/>
        </w:rPr>
        <w:t>S</w:t>
      </w:r>
      <w:r w:rsidRPr="005775DB">
        <w:rPr>
          <w:b/>
          <w:sz w:val="24"/>
          <w:szCs w:val="24"/>
          <w:u w:val="single"/>
        </w:rPr>
        <w:t>ignatures</w:t>
      </w:r>
    </w:p>
    <w:p w:rsidR="00F914CD" w:rsidRPr="005775DB" w:rsidRDefault="00F914CD" w:rsidP="00F914CD">
      <w:pPr>
        <w:pStyle w:val="NoSpacing"/>
        <w:rPr>
          <w:rFonts w:eastAsia="Times New Roman" w:cs="Times New Roman"/>
          <w:sz w:val="24"/>
          <w:szCs w:val="24"/>
          <w:lang w:eastAsia="en-GB"/>
        </w:rPr>
      </w:pPr>
    </w:p>
    <w:p w:rsidR="00F914CD" w:rsidRPr="005775DB" w:rsidRDefault="00F914CD" w:rsidP="00F914CD">
      <w:pPr>
        <w:pStyle w:val="NoSpacing"/>
        <w:rPr>
          <w:rFonts w:eastAsia="Times New Roman" w:cs="Times New Roman"/>
          <w:b/>
          <w:i/>
          <w:sz w:val="24"/>
          <w:szCs w:val="24"/>
          <w:lang w:eastAsia="en-GB"/>
        </w:rPr>
      </w:pPr>
      <w:r w:rsidRPr="005775DB">
        <w:rPr>
          <w:rFonts w:eastAsia="Times New Roman" w:cs="Times New Roman"/>
          <w:b/>
          <w:i/>
          <w:sz w:val="24"/>
          <w:szCs w:val="24"/>
          <w:lang w:eastAsia="en-GB"/>
        </w:rPr>
        <w:t>“A signature is a major rarity for works by Natalia Goncharova of her Russian period”</w:t>
      </w:r>
    </w:p>
    <w:p w:rsidR="00F914CD" w:rsidRDefault="00F914CD" w:rsidP="00F914CD">
      <w:pPr>
        <w:pStyle w:val="NoSpacing"/>
        <w:jc w:val="both"/>
        <w:rPr>
          <w:rFonts w:eastAsia="Times New Roman" w:cs="Times New Roman"/>
          <w:sz w:val="24"/>
          <w:szCs w:val="24"/>
          <w:lang w:eastAsia="en-GB"/>
        </w:rPr>
      </w:pPr>
    </w:p>
    <w:p w:rsidR="00F914CD" w:rsidRDefault="00F914CD" w:rsidP="00F914CD">
      <w:pPr>
        <w:pStyle w:val="NoSpacing"/>
        <w:jc w:val="both"/>
        <w:rPr>
          <w:rFonts w:eastAsia="Times New Roman" w:cs="Times New Roman"/>
          <w:sz w:val="24"/>
          <w:szCs w:val="24"/>
          <w:lang w:eastAsia="en-GB"/>
        </w:rPr>
      </w:pPr>
      <w:r w:rsidRPr="005775DB">
        <w:rPr>
          <w:rFonts w:eastAsia="Times New Roman" w:cs="Times New Roman"/>
          <w:sz w:val="24"/>
          <w:szCs w:val="24"/>
          <w:lang w:eastAsia="en-GB"/>
        </w:rPr>
        <w:t>Had the authors investigate</w:t>
      </w:r>
      <w:r>
        <w:rPr>
          <w:rFonts w:eastAsia="Times New Roman" w:cs="Times New Roman"/>
          <w:sz w:val="24"/>
          <w:szCs w:val="24"/>
          <w:lang w:eastAsia="en-GB"/>
        </w:rPr>
        <w:t>d</w:t>
      </w:r>
      <w:r w:rsidRPr="005775DB">
        <w:rPr>
          <w:rFonts w:eastAsia="Times New Roman" w:cs="Times New Roman"/>
          <w:sz w:val="24"/>
          <w:szCs w:val="24"/>
          <w:lang w:eastAsia="en-GB"/>
        </w:rPr>
        <w:t xml:space="preserve"> the </w:t>
      </w:r>
      <w:r>
        <w:rPr>
          <w:rFonts w:eastAsia="Times New Roman" w:cs="Times New Roman"/>
          <w:sz w:val="24"/>
          <w:szCs w:val="24"/>
          <w:lang w:eastAsia="en-GB"/>
        </w:rPr>
        <w:t>pre-</w:t>
      </w:r>
      <w:r w:rsidRPr="005775DB">
        <w:rPr>
          <w:rFonts w:eastAsia="Times New Roman" w:cs="Times New Roman"/>
          <w:sz w:val="24"/>
          <w:szCs w:val="24"/>
          <w:lang w:eastAsia="en-GB"/>
        </w:rPr>
        <w:t>1915 work of Natalia Goncharova in any detail</w:t>
      </w:r>
      <w:r>
        <w:rPr>
          <w:rFonts w:eastAsia="Times New Roman" w:cs="Times New Roman"/>
          <w:sz w:val="24"/>
          <w:szCs w:val="24"/>
          <w:lang w:eastAsia="en-GB"/>
        </w:rPr>
        <w:t xml:space="preserve">, they would have discovered that a signature on her work pre-1915 is a major, major rarity. It therefore almost goes without saying that of the 12 dubious paintings we have shown in this document, every single one is signed or monogrammed. When mass faking of Russian Art became public knowledge around 2000, it was a well-known that the majority of these dubious paintings were signed in an attempt to fool the buying public. </w:t>
      </w:r>
    </w:p>
    <w:p w:rsidR="00F914CD" w:rsidRDefault="00F914CD" w:rsidP="00F914CD">
      <w:pPr>
        <w:pStyle w:val="NoSpacing"/>
        <w:rPr>
          <w:rFonts w:eastAsia="Times New Roman" w:cs="Times New Roman"/>
          <w:sz w:val="24"/>
          <w:szCs w:val="24"/>
          <w:lang w:eastAsia="en-GB"/>
        </w:rPr>
      </w:pPr>
    </w:p>
    <w:p w:rsidR="00F914CD" w:rsidRPr="005775DB" w:rsidRDefault="00F914CD" w:rsidP="00F914CD">
      <w:pPr>
        <w:pStyle w:val="NoSpacing"/>
        <w:rPr>
          <w:b/>
          <w:sz w:val="24"/>
          <w:szCs w:val="24"/>
          <w:u w:val="single"/>
        </w:rPr>
      </w:pPr>
      <w:r>
        <w:rPr>
          <w:b/>
          <w:sz w:val="24"/>
          <w:szCs w:val="24"/>
          <w:u w:val="single"/>
        </w:rPr>
        <w:t>Selling aids and price</w:t>
      </w:r>
    </w:p>
    <w:p w:rsidR="00F914CD" w:rsidRDefault="00F914CD" w:rsidP="00F914CD">
      <w:pPr>
        <w:pStyle w:val="NoSpacing"/>
        <w:jc w:val="both"/>
        <w:rPr>
          <w:rFonts w:eastAsia="Times New Roman" w:cs="Times New Roman"/>
          <w:sz w:val="24"/>
          <w:szCs w:val="24"/>
          <w:lang w:eastAsia="en-GB"/>
        </w:rPr>
      </w:pPr>
    </w:p>
    <w:p w:rsidR="00F914CD" w:rsidRDefault="00F914CD" w:rsidP="00F914CD">
      <w:pPr>
        <w:pStyle w:val="NoSpacing"/>
        <w:jc w:val="both"/>
        <w:rPr>
          <w:rFonts w:eastAsia="Times New Roman" w:cs="Times New Roman"/>
          <w:sz w:val="24"/>
          <w:szCs w:val="24"/>
          <w:lang w:eastAsia="en-GB"/>
        </w:rPr>
      </w:pPr>
      <w:r>
        <w:rPr>
          <w:rFonts w:eastAsia="Times New Roman" w:cs="Times New Roman"/>
          <w:sz w:val="24"/>
          <w:szCs w:val="24"/>
          <w:lang w:eastAsia="en-GB"/>
        </w:rPr>
        <w:t>Should the authors doubt that these books and their certificates of expertise that proliferate on the Western Art market are used as selling aids, a glance at auctions in Germany over the last 10 years, or France will confirm the facts. For example, Lot 78 at a Paris auction house (illustrated below) in April 2011. The only credible evidence (the remainder of the provenance is entirely thought-up and cannot be proved) offered for the painting’s authenticity being a reproduction in Denise Bazetoux’s book and a certificate of authenticity from the author. It is instructive to note that the estimate for the painting is a fraction (20%) of what it would have been had the picture been genuine. Coupled to this is the fact that the major London auction houses, the centre of the Russian Art market, have long ago rejected certificates from these two authors as well as other members of INCORM. Why?</w:t>
      </w:r>
    </w:p>
    <w:p w:rsidR="00F914CD" w:rsidRDefault="00F914CD" w:rsidP="00F914CD">
      <w:pPr>
        <w:pStyle w:val="NoSpacing"/>
        <w:jc w:val="both"/>
        <w:rPr>
          <w:rFonts w:eastAsia="Times New Roman" w:cs="Times New Roman"/>
          <w:sz w:val="24"/>
          <w:szCs w:val="24"/>
          <w:lang w:eastAsia="en-GB"/>
        </w:rPr>
      </w:pPr>
    </w:p>
    <w:tbl>
      <w:tblPr>
        <w:tblStyle w:val="TableGrid"/>
        <w:tblW w:w="0" w:type="auto"/>
        <w:tblLook w:val="04A0" w:firstRow="1" w:lastRow="0" w:firstColumn="1" w:lastColumn="0" w:noHBand="0" w:noVBand="1"/>
      </w:tblPr>
      <w:tblGrid>
        <w:gridCol w:w="4621"/>
        <w:gridCol w:w="4621"/>
      </w:tblGrid>
      <w:tr w:rsidR="00F914CD" w:rsidTr="006A36EE">
        <w:tc>
          <w:tcPr>
            <w:tcW w:w="4621" w:type="dxa"/>
          </w:tcPr>
          <w:p w:rsidR="00F914CD" w:rsidRDefault="00F914CD" w:rsidP="006A36EE">
            <w:pPr>
              <w:pStyle w:val="NoSpacing"/>
              <w:jc w:val="center"/>
              <w:rPr>
                <w:rFonts w:eastAsia="Times New Roman" w:cs="Times New Roman"/>
                <w:sz w:val="24"/>
                <w:szCs w:val="24"/>
                <w:lang w:eastAsia="en-GB"/>
              </w:rPr>
            </w:pPr>
          </w:p>
          <w:p w:rsidR="00F914CD" w:rsidRDefault="00F914CD" w:rsidP="006A36EE">
            <w:pPr>
              <w:pStyle w:val="NoSpacing"/>
              <w:jc w:val="center"/>
              <w:rPr>
                <w:rFonts w:eastAsia="Times New Roman" w:cs="Times New Roman"/>
                <w:sz w:val="24"/>
                <w:szCs w:val="24"/>
                <w:lang w:eastAsia="en-GB"/>
              </w:rPr>
            </w:pPr>
            <w:r>
              <w:rPr>
                <w:noProof/>
                <w:lang w:eastAsia="en-GB"/>
              </w:rPr>
              <w:drawing>
                <wp:inline distT="0" distB="0" distL="0" distR="0" wp14:anchorId="0DAD2B58" wp14:editId="47648298">
                  <wp:extent cx="2360833" cy="2001328"/>
                  <wp:effectExtent l="0" t="0" r="1905" b="0"/>
                  <wp:docPr id="76" name="Picture 76" descr="C:\Users\James Butterwick\Pictures\Fakes lecture\img377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James Butterwick\Pictures\Fakes lecture\img377 - Copy.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372455" cy="2011180"/>
                          </a:xfrm>
                          <a:prstGeom prst="rect">
                            <a:avLst/>
                          </a:prstGeom>
                          <a:noFill/>
                          <a:ln>
                            <a:noFill/>
                          </a:ln>
                        </pic:spPr>
                      </pic:pic>
                    </a:graphicData>
                  </a:graphic>
                </wp:inline>
              </w:drawing>
            </w:r>
          </w:p>
        </w:tc>
        <w:tc>
          <w:tcPr>
            <w:tcW w:w="4621" w:type="dxa"/>
          </w:tcPr>
          <w:p w:rsidR="00F914CD" w:rsidRPr="00311F9B" w:rsidRDefault="00F914CD" w:rsidP="006A36EE">
            <w:pPr>
              <w:pStyle w:val="NormalWeb"/>
              <w:rPr>
                <w:rFonts w:asciiTheme="minorHAnsi" w:hAnsiTheme="minorHAnsi"/>
                <w:sz w:val="14"/>
                <w:szCs w:val="14"/>
              </w:rPr>
            </w:pPr>
            <w:r w:rsidRPr="00311F9B">
              <w:rPr>
                <w:rFonts w:asciiTheme="minorHAnsi" w:hAnsiTheme="minorHAnsi"/>
                <w:sz w:val="14"/>
                <w:szCs w:val="14"/>
              </w:rPr>
              <w:t xml:space="preserve">Sale 9611 Lot 78 </w:t>
            </w:r>
          </w:p>
          <w:p w:rsidR="00F914CD" w:rsidRPr="00311F9B" w:rsidRDefault="00F914CD" w:rsidP="006A36EE">
            <w:pPr>
              <w:pStyle w:val="NormalWeb"/>
              <w:rPr>
                <w:rFonts w:asciiTheme="minorHAnsi" w:hAnsiTheme="minorHAnsi"/>
                <w:sz w:val="14"/>
                <w:szCs w:val="14"/>
              </w:rPr>
            </w:pPr>
            <w:r w:rsidRPr="00311F9B">
              <w:rPr>
                <w:rFonts w:asciiTheme="minorHAnsi" w:hAnsiTheme="minorHAnsi"/>
                <w:sz w:val="14"/>
                <w:szCs w:val="14"/>
              </w:rPr>
              <w:t xml:space="preserve">Natalia Sergeevna Goncharova (1881-1962) </w:t>
            </w:r>
            <w:r w:rsidRPr="00311F9B">
              <w:rPr>
                <w:rFonts w:asciiTheme="minorHAnsi" w:hAnsiTheme="minorHAnsi"/>
                <w:sz w:val="14"/>
                <w:szCs w:val="14"/>
              </w:rPr>
              <w:br/>
              <w:t xml:space="preserve">La trottinette </w:t>
            </w:r>
            <w:r w:rsidRPr="00311F9B">
              <w:rPr>
                <w:rFonts w:asciiTheme="minorHAnsi" w:hAnsiTheme="minorHAnsi"/>
                <w:sz w:val="14"/>
                <w:szCs w:val="14"/>
              </w:rPr>
              <w:br/>
              <w:t xml:space="preserve">Huile sur toile. Signée du monogramme en bas à gauche </w:t>
            </w:r>
            <w:r w:rsidRPr="00311F9B">
              <w:rPr>
                <w:rFonts w:asciiTheme="minorHAnsi" w:hAnsiTheme="minorHAnsi"/>
                <w:sz w:val="14"/>
                <w:szCs w:val="14"/>
              </w:rPr>
              <w:br/>
              <w:t xml:space="preserve">80 x 99 cm 31 1/2 x 39 in </w:t>
            </w:r>
          </w:p>
          <w:p w:rsidR="00F914CD" w:rsidRPr="00311F9B" w:rsidRDefault="00F914CD" w:rsidP="006A36EE">
            <w:pPr>
              <w:pStyle w:val="NormalWeb"/>
              <w:rPr>
                <w:rFonts w:eastAsia="Times New Roman"/>
                <w:sz w:val="14"/>
                <w:szCs w:val="14"/>
              </w:rPr>
            </w:pPr>
            <w:r w:rsidRPr="00311F9B">
              <w:rPr>
                <w:rFonts w:asciiTheme="minorHAnsi" w:hAnsiTheme="minorHAnsi"/>
                <w:bCs/>
                <w:sz w:val="14"/>
                <w:szCs w:val="14"/>
              </w:rPr>
              <w:t>Estimation : € 800,000-1,000,000</w:t>
            </w:r>
            <w:r w:rsidRPr="00311F9B">
              <w:rPr>
                <w:rFonts w:asciiTheme="minorHAnsi" w:hAnsiTheme="minorHAnsi"/>
                <w:sz w:val="14"/>
                <w:szCs w:val="14"/>
              </w:rPr>
              <w:t xml:space="preserve"> </w:t>
            </w:r>
            <w:r w:rsidRPr="00311F9B">
              <w:rPr>
                <w:rFonts w:asciiTheme="minorHAnsi" w:hAnsiTheme="minorHAnsi"/>
                <w:sz w:val="14"/>
                <w:szCs w:val="14"/>
              </w:rPr>
              <w:br/>
            </w:r>
            <w:r w:rsidRPr="00311F9B">
              <w:rPr>
                <w:rFonts w:asciiTheme="minorHAnsi" w:hAnsiTheme="minorHAnsi"/>
                <w:sz w:val="14"/>
                <w:szCs w:val="14"/>
              </w:rPr>
              <w:br/>
            </w:r>
            <w:r w:rsidRPr="00311F9B">
              <w:rPr>
                <w:rFonts w:asciiTheme="minorHAnsi" w:hAnsiTheme="minorHAnsi"/>
                <w:iCs/>
                <w:sz w:val="14"/>
                <w:szCs w:val="14"/>
              </w:rPr>
              <w:t xml:space="preserve">Une attestation de Madame Denise Bazetoux sera remise à l'acquéreur </w:t>
            </w:r>
            <w:r w:rsidRPr="00311F9B">
              <w:rPr>
                <w:rFonts w:asciiTheme="minorHAnsi" w:hAnsiTheme="minorHAnsi"/>
                <w:iCs/>
                <w:sz w:val="14"/>
                <w:szCs w:val="14"/>
              </w:rPr>
              <w:br/>
            </w:r>
            <w:r w:rsidRPr="00311F9B">
              <w:rPr>
                <w:rFonts w:asciiTheme="minorHAnsi" w:hAnsiTheme="minorHAnsi"/>
                <w:iCs/>
                <w:sz w:val="14"/>
                <w:szCs w:val="14"/>
              </w:rPr>
              <w:br/>
              <w:t xml:space="preserve">Provenance : </w:t>
            </w:r>
            <w:r w:rsidRPr="00311F9B">
              <w:rPr>
                <w:rFonts w:asciiTheme="minorHAnsi" w:hAnsiTheme="minorHAnsi"/>
                <w:iCs/>
                <w:sz w:val="14"/>
                <w:szCs w:val="14"/>
              </w:rPr>
              <w:br/>
              <w:t xml:space="preserve">Acquis directement auprès de l'artiste. Collection Edward Ellenberg, Allemagne. Collection Egon Ellenberg, Paris </w:t>
            </w:r>
            <w:r w:rsidRPr="00311F9B">
              <w:rPr>
                <w:rFonts w:asciiTheme="minorHAnsi" w:hAnsiTheme="minorHAnsi"/>
                <w:iCs/>
                <w:sz w:val="14"/>
                <w:szCs w:val="14"/>
              </w:rPr>
              <w:br/>
              <w:t xml:space="preserve">Collection particulière, Paris </w:t>
            </w:r>
            <w:r w:rsidRPr="00311F9B">
              <w:rPr>
                <w:rFonts w:asciiTheme="minorHAnsi" w:hAnsiTheme="minorHAnsi"/>
                <w:iCs/>
                <w:sz w:val="14"/>
                <w:szCs w:val="14"/>
              </w:rPr>
              <w:br/>
            </w:r>
            <w:r w:rsidRPr="00311F9B">
              <w:rPr>
                <w:rFonts w:asciiTheme="minorHAnsi" w:hAnsiTheme="minorHAnsi"/>
                <w:iCs/>
                <w:sz w:val="14"/>
                <w:szCs w:val="14"/>
              </w:rPr>
              <w:br/>
              <w:t xml:space="preserve">Bibliographie: </w:t>
            </w:r>
            <w:r w:rsidRPr="00311F9B">
              <w:rPr>
                <w:rFonts w:asciiTheme="minorHAnsi" w:hAnsiTheme="minorHAnsi"/>
                <w:iCs/>
                <w:sz w:val="14"/>
                <w:szCs w:val="14"/>
              </w:rPr>
              <w:br/>
              <w:t>Natalia Gontcharova, Catalogue raisonné de l'œuvre de Natalia Sergeevna Goncharova, Denise Bazetoux, éditions</w:t>
            </w:r>
            <w:r w:rsidRPr="00311F9B">
              <w:rPr>
                <w:rFonts w:asciiTheme="minorHAnsi" w:hAnsiTheme="minorHAnsi"/>
                <w:b/>
                <w:iCs/>
                <w:sz w:val="14"/>
                <w:szCs w:val="14"/>
                <w:u w:val="single"/>
              </w:rPr>
              <w:t xml:space="preserve"> </w:t>
            </w:r>
            <w:r w:rsidRPr="00311F9B">
              <w:rPr>
                <w:rFonts w:asciiTheme="minorHAnsi" w:hAnsiTheme="minorHAnsi"/>
                <w:iCs/>
                <w:sz w:val="14"/>
                <w:szCs w:val="14"/>
              </w:rPr>
              <w:t xml:space="preserve">Arteprint, </w:t>
            </w:r>
          </w:p>
        </w:tc>
      </w:tr>
    </w:tbl>
    <w:p w:rsidR="00F914CD" w:rsidRPr="007611F2" w:rsidRDefault="00F914CD" w:rsidP="00F914CD">
      <w:pPr>
        <w:pStyle w:val="NoSpacing"/>
        <w:rPr>
          <w:b/>
          <w:sz w:val="24"/>
          <w:szCs w:val="24"/>
          <w:u w:val="single"/>
        </w:rPr>
      </w:pPr>
      <w:r>
        <w:rPr>
          <w:b/>
          <w:sz w:val="24"/>
          <w:szCs w:val="24"/>
          <w:u w:val="single"/>
        </w:rPr>
        <w:lastRenderedPageBreak/>
        <w:t>D</w:t>
      </w:r>
      <w:r w:rsidRPr="007611F2">
        <w:rPr>
          <w:b/>
          <w:sz w:val="24"/>
          <w:szCs w:val="24"/>
          <w:u w:val="single"/>
        </w:rPr>
        <w:t>enouement.</w:t>
      </w:r>
    </w:p>
    <w:p w:rsidR="00F914CD" w:rsidRPr="007611F2" w:rsidRDefault="00F914CD" w:rsidP="00F914CD">
      <w:pPr>
        <w:pStyle w:val="NoSpacing"/>
        <w:rPr>
          <w:rFonts w:eastAsia="MyriadPro-Regular" w:cs="MyriadPro-Regular"/>
          <w:color w:val="000000"/>
          <w:sz w:val="24"/>
          <w:szCs w:val="24"/>
        </w:rPr>
      </w:pPr>
    </w:p>
    <w:p w:rsidR="00F914CD" w:rsidRDefault="00F914CD" w:rsidP="00F914CD">
      <w:pPr>
        <w:pStyle w:val="NoSpacing"/>
        <w:jc w:val="both"/>
        <w:rPr>
          <w:sz w:val="24"/>
          <w:szCs w:val="24"/>
        </w:rPr>
      </w:pPr>
      <w:r>
        <w:rPr>
          <w:sz w:val="24"/>
          <w:szCs w:val="24"/>
        </w:rPr>
        <w:t xml:space="preserve">In a May 2011 news conference, leading figures in the world of Russian Art including Irina Lebedeva, Director of the Tretyakov Gallery and Pyotr Aven, a major collector and specialist on Goncharova voiced their accusations. In reply, </w:t>
      </w:r>
      <w:r w:rsidRPr="007611F2">
        <w:rPr>
          <w:sz w:val="24"/>
          <w:szCs w:val="24"/>
        </w:rPr>
        <w:t xml:space="preserve">the authors </w:t>
      </w:r>
      <w:r>
        <w:rPr>
          <w:sz w:val="24"/>
          <w:szCs w:val="24"/>
        </w:rPr>
        <w:t>were defended by</w:t>
      </w:r>
      <w:r w:rsidRPr="007611F2">
        <w:rPr>
          <w:sz w:val="24"/>
          <w:szCs w:val="24"/>
        </w:rPr>
        <w:t xml:space="preserve"> </w:t>
      </w:r>
      <w:r>
        <w:rPr>
          <w:sz w:val="24"/>
          <w:szCs w:val="24"/>
        </w:rPr>
        <w:t>the</w:t>
      </w:r>
      <w:r w:rsidRPr="007611F2">
        <w:rPr>
          <w:sz w:val="24"/>
          <w:szCs w:val="24"/>
        </w:rPr>
        <w:t xml:space="preserve"> </w:t>
      </w:r>
      <w:r>
        <w:rPr>
          <w:sz w:val="24"/>
          <w:szCs w:val="24"/>
        </w:rPr>
        <w:t>aforementioned</w:t>
      </w:r>
      <w:r w:rsidRPr="007611F2">
        <w:rPr>
          <w:sz w:val="24"/>
          <w:szCs w:val="24"/>
        </w:rPr>
        <w:t xml:space="preserve"> </w:t>
      </w:r>
      <w:r>
        <w:rPr>
          <w:sz w:val="24"/>
          <w:szCs w:val="24"/>
        </w:rPr>
        <w:t>‘INCORM’</w:t>
      </w:r>
      <w:r w:rsidRPr="007611F2">
        <w:rPr>
          <w:sz w:val="24"/>
          <w:szCs w:val="24"/>
        </w:rPr>
        <w:t xml:space="preserve"> whose President, Patricia Railing, </w:t>
      </w:r>
      <w:r>
        <w:rPr>
          <w:sz w:val="24"/>
          <w:szCs w:val="24"/>
        </w:rPr>
        <w:t xml:space="preserve">is </w:t>
      </w:r>
      <w:r w:rsidRPr="007611F2">
        <w:rPr>
          <w:sz w:val="24"/>
          <w:szCs w:val="24"/>
        </w:rPr>
        <w:t xml:space="preserve">herself </w:t>
      </w:r>
      <w:r>
        <w:rPr>
          <w:sz w:val="24"/>
          <w:szCs w:val="24"/>
        </w:rPr>
        <w:t>an</w:t>
      </w:r>
      <w:r w:rsidRPr="007611F2">
        <w:rPr>
          <w:sz w:val="24"/>
          <w:szCs w:val="24"/>
        </w:rPr>
        <w:t xml:space="preserve"> art histori</w:t>
      </w:r>
      <w:r>
        <w:rPr>
          <w:sz w:val="24"/>
          <w:szCs w:val="24"/>
        </w:rPr>
        <w:t>an.</w:t>
      </w:r>
    </w:p>
    <w:p w:rsidR="00F914CD" w:rsidRDefault="00F914CD" w:rsidP="00F914CD">
      <w:pPr>
        <w:pStyle w:val="NoSpacing"/>
        <w:jc w:val="both"/>
        <w:rPr>
          <w:sz w:val="24"/>
          <w:szCs w:val="24"/>
        </w:rPr>
      </w:pPr>
    </w:p>
    <w:p w:rsidR="00F914CD" w:rsidRDefault="00F914CD" w:rsidP="00F914CD">
      <w:pPr>
        <w:pStyle w:val="NoSpacing"/>
        <w:jc w:val="both"/>
        <w:rPr>
          <w:sz w:val="24"/>
          <w:szCs w:val="24"/>
        </w:rPr>
      </w:pPr>
      <w:r>
        <w:rPr>
          <w:sz w:val="24"/>
          <w:szCs w:val="24"/>
        </w:rPr>
        <w:t xml:space="preserve">The reply consisted largely of subterfuge and at no point answered the questions posed by the news conference nor those that have subsequently been aired on the artInvestment.ru site. Now, with the opening of the Goncharova exhibition at the Tretyakov Gallery we again seek dialogue to avoid the name of Goncharova being further besmirched. </w:t>
      </w:r>
    </w:p>
    <w:p w:rsidR="00F914CD" w:rsidRPr="00A807F4" w:rsidRDefault="00F914CD" w:rsidP="00F914CD">
      <w:pPr>
        <w:pStyle w:val="NoSpacing"/>
        <w:jc w:val="both"/>
        <w:rPr>
          <w:sz w:val="24"/>
          <w:szCs w:val="24"/>
        </w:rPr>
      </w:pPr>
    </w:p>
    <w:p w:rsidR="00F914CD" w:rsidRDefault="00F914CD" w:rsidP="00F914CD">
      <w:pPr>
        <w:pStyle w:val="NoSpacing"/>
        <w:jc w:val="both"/>
        <w:rPr>
          <w:sz w:val="24"/>
          <w:szCs w:val="24"/>
          <w:lang w:eastAsia="en-GB"/>
        </w:rPr>
      </w:pPr>
      <w:r>
        <w:rPr>
          <w:sz w:val="24"/>
          <w:szCs w:val="24"/>
        </w:rPr>
        <w:t xml:space="preserve">To our request to have the dubious paintings chemically analysed to remove all doubt as to authenticity, we also offered to pay all costs, Mrs. Railing replied </w:t>
      </w:r>
      <w:r w:rsidRPr="00A807F4">
        <w:rPr>
          <w:sz w:val="24"/>
          <w:szCs w:val="24"/>
        </w:rPr>
        <w:t xml:space="preserve">that </w:t>
      </w:r>
      <w:r w:rsidRPr="00A807F4">
        <w:rPr>
          <w:sz w:val="24"/>
          <w:szCs w:val="24"/>
          <w:lang w:eastAsia="en-GB"/>
        </w:rPr>
        <w:t>the</w:t>
      </w:r>
      <w:r>
        <w:rPr>
          <w:sz w:val="24"/>
          <w:szCs w:val="24"/>
          <w:lang w:eastAsia="en-GB"/>
        </w:rPr>
        <w:t>se</w:t>
      </w:r>
      <w:r w:rsidRPr="00A807F4">
        <w:rPr>
          <w:sz w:val="24"/>
          <w:szCs w:val="24"/>
          <w:lang w:eastAsia="en-GB"/>
        </w:rPr>
        <w:t xml:space="preserve"> paintings</w:t>
      </w:r>
      <w:r>
        <w:rPr>
          <w:sz w:val="24"/>
          <w:szCs w:val="24"/>
          <w:lang w:eastAsia="en-GB"/>
        </w:rPr>
        <w:t xml:space="preserve"> </w:t>
      </w:r>
      <w:r w:rsidRPr="00A807F4">
        <w:rPr>
          <w:sz w:val="24"/>
          <w:szCs w:val="24"/>
          <w:lang w:eastAsia="en-GB"/>
        </w:rPr>
        <w:t xml:space="preserve">“have “technological” expertises accompanying them by known and reputable scientists which reveal without a shadow of a doubt that the works were </w:t>
      </w:r>
      <w:r w:rsidRPr="00A807F4">
        <w:rPr>
          <w:sz w:val="24"/>
          <w:szCs w:val="24"/>
          <w:u w:val="single"/>
          <w:lang w:eastAsia="en-GB"/>
        </w:rPr>
        <w:t>not</w:t>
      </w:r>
      <w:r w:rsidRPr="00A807F4">
        <w:rPr>
          <w:sz w:val="24"/>
          <w:szCs w:val="24"/>
          <w:lang w:eastAsia="en-GB"/>
        </w:rPr>
        <w:t xml:space="preserve"> “painted in our time” but were executed at least 60 years ago”. </w:t>
      </w:r>
    </w:p>
    <w:p w:rsidR="00F914CD" w:rsidRDefault="00F914CD" w:rsidP="00F914CD">
      <w:pPr>
        <w:pStyle w:val="NoSpacing"/>
        <w:jc w:val="both"/>
        <w:rPr>
          <w:sz w:val="24"/>
          <w:szCs w:val="24"/>
          <w:lang w:eastAsia="en-GB"/>
        </w:rPr>
      </w:pPr>
    </w:p>
    <w:p w:rsidR="00F914CD" w:rsidRDefault="00F914CD" w:rsidP="00F914CD">
      <w:pPr>
        <w:pStyle w:val="NoSpacing"/>
        <w:jc w:val="both"/>
        <w:rPr>
          <w:sz w:val="24"/>
          <w:szCs w:val="24"/>
          <w:lang w:eastAsia="en-GB"/>
        </w:rPr>
      </w:pPr>
      <w:r>
        <w:rPr>
          <w:sz w:val="24"/>
          <w:szCs w:val="24"/>
          <w:lang w:eastAsia="en-GB"/>
        </w:rPr>
        <w:t xml:space="preserve">These certificates to which Mrs Railing refers were, in the main, written by Erhardt and Elizabeth Jagers and yet we know that, according to the Press, German police have questioned the former who confesses in the Russian language version of the Art Newspaper from September 2013 that ‘if these </w:t>
      </w:r>
      <w:r w:rsidRPr="00511282">
        <w:rPr>
          <w:i/>
          <w:sz w:val="24"/>
          <w:szCs w:val="24"/>
          <w:lang w:eastAsia="en-GB"/>
        </w:rPr>
        <w:t>(dubious paintings)</w:t>
      </w:r>
      <w:r>
        <w:rPr>
          <w:sz w:val="24"/>
          <w:szCs w:val="24"/>
          <w:lang w:eastAsia="en-GB"/>
        </w:rPr>
        <w:t xml:space="preserve"> were fakes, they were done extremely well’. </w:t>
      </w:r>
    </w:p>
    <w:p w:rsidR="00F914CD" w:rsidRDefault="00F914CD" w:rsidP="00F914CD">
      <w:pPr>
        <w:pStyle w:val="NoSpacing"/>
        <w:jc w:val="both"/>
        <w:rPr>
          <w:sz w:val="24"/>
          <w:szCs w:val="24"/>
          <w:lang w:eastAsia="en-GB"/>
        </w:rPr>
      </w:pPr>
    </w:p>
    <w:p w:rsidR="00F914CD" w:rsidRDefault="00F914CD" w:rsidP="00F914CD">
      <w:pPr>
        <w:pStyle w:val="NoSpacing"/>
        <w:jc w:val="both"/>
        <w:rPr>
          <w:sz w:val="24"/>
          <w:szCs w:val="24"/>
        </w:rPr>
      </w:pPr>
      <w:r>
        <w:rPr>
          <w:sz w:val="24"/>
          <w:szCs w:val="24"/>
          <w:lang w:eastAsia="en-GB"/>
        </w:rPr>
        <w:t>From the evidence of this document, we find this very difficult to believe.</w:t>
      </w:r>
    </w:p>
    <w:p w:rsidR="00F914CD" w:rsidRDefault="00F914CD" w:rsidP="00F914CD">
      <w:pPr>
        <w:pStyle w:val="NoSpacing"/>
        <w:jc w:val="both"/>
        <w:rPr>
          <w:sz w:val="24"/>
          <w:szCs w:val="24"/>
        </w:rPr>
      </w:pPr>
    </w:p>
    <w:p w:rsidR="00F914CD" w:rsidRDefault="00F914CD" w:rsidP="00F914CD">
      <w:pPr>
        <w:pStyle w:val="NoSpacing"/>
        <w:jc w:val="both"/>
        <w:rPr>
          <w:b/>
          <w:sz w:val="24"/>
          <w:szCs w:val="24"/>
          <w:u w:val="single"/>
        </w:rPr>
      </w:pPr>
      <w:r>
        <w:rPr>
          <w:b/>
          <w:sz w:val="24"/>
          <w:szCs w:val="24"/>
          <w:u w:val="single"/>
        </w:rPr>
        <w:t>C</w:t>
      </w:r>
      <w:r w:rsidRPr="007611F2">
        <w:rPr>
          <w:b/>
          <w:sz w:val="24"/>
          <w:szCs w:val="24"/>
          <w:u w:val="single"/>
        </w:rPr>
        <w:t>onclusions</w:t>
      </w:r>
    </w:p>
    <w:p w:rsidR="00F914CD" w:rsidRDefault="00F914CD" w:rsidP="00F914CD">
      <w:pPr>
        <w:pStyle w:val="NoSpacing"/>
        <w:jc w:val="both"/>
        <w:rPr>
          <w:sz w:val="24"/>
          <w:szCs w:val="24"/>
        </w:rPr>
      </w:pPr>
    </w:p>
    <w:p w:rsidR="00F914CD" w:rsidRDefault="00F914CD" w:rsidP="00F914CD">
      <w:pPr>
        <w:pStyle w:val="NoSpacing"/>
        <w:jc w:val="both"/>
        <w:rPr>
          <w:sz w:val="24"/>
          <w:szCs w:val="24"/>
        </w:rPr>
      </w:pPr>
      <w:r>
        <w:rPr>
          <w:sz w:val="24"/>
          <w:szCs w:val="24"/>
        </w:rPr>
        <w:t>In this document we have offered several factors for consideration:</w:t>
      </w:r>
    </w:p>
    <w:p w:rsidR="00F914CD" w:rsidRDefault="00F914CD" w:rsidP="00F914CD">
      <w:pPr>
        <w:pStyle w:val="NoSpacing"/>
        <w:jc w:val="both"/>
        <w:rPr>
          <w:sz w:val="24"/>
          <w:szCs w:val="24"/>
        </w:rPr>
      </w:pPr>
    </w:p>
    <w:p w:rsidR="00F914CD" w:rsidRDefault="00F914CD" w:rsidP="00F914CD">
      <w:pPr>
        <w:pStyle w:val="NoSpacing"/>
        <w:numPr>
          <w:ilvl w:val="0"/>
          <w:numId w:val="1"/>
        </w:numPr>
        <w:jc w:val="both"/>
        <w:rPr>
          <w:sz w:val="24"/>
          <w:szCs w:val="24"/>
        </w:rPr>
      </w:pPr>
      <w:r>
        <w:rPr>
          <w:sz w:val="24"/>
          <w:szCs w:val="24"/>
        </w:rPr>
        <w:t>Stylistic</w:t>
      </w:r>
    </w:p>
    <w:p w:rsidR="00F914CD" w:rsidRDefault="00F914CD" w:rsidP="00F914CD">
      <w:pPr>
        <w:pStyle w:val="NoSpacing"/>
        <w:numPr>
          <w:ilvl w:val="0"/>
          <w:numId w:val="1"/>
        </w:numPr>
        <w:jc w:val="both"/>
        <w:rPr>
          <w:sz w:val="24"/>
          <w:szCs w:val="24"/>
        </w:rPr>
      </w:pPr>
      <w:r>
        <w:rPr>
          <w:sz w:val="24"/>
          <w:szCs w:val="24"/>
        </w:rPr>
        <w:t>Historical</w:t>
      </w:r>
    </w:p>
    <w:p w:rsidR="00F914CD" w:rsidRDefault="00F914CD" w:rsidP="00F914CD">
      <w:pPr>
        <w:pStyle w:val="NoSpacing"/>
        <w:numPr>
          <w:ilvl w:val="0"/>
          <w:numId w:val="1"/>
        </w:numPr>
        <w:jc w:val="both"/>
        <w:rPr>
          <w:sz w:val="24"/>
          <w:szCs w:val="24"/>
        </w:rPr>
      </w:pPr>
      <w:r>
        <w:rPr>
          <w:sz w:val="24"/>
          <w:szCs w:val="24"/>
        </w:rPr>
        <w:t xml:space="preserve">Provenance </w:t>
      </w:r>
    </w:p>
    <w:p w:rsidR="00F914CD" w:rsidRDefault="00F914CD" w:rsidP="00F914CD">
      <w:pPr>
        <w:pStyle w:val="NoSpacing"/>
        <w:numPr>
          <w:ilvl w:val="0"/>
          <w:numId w:val="1"/>
        </w:numPr>
        <w:jc w:val="both"/>
        <w:rPr>
          <w:sz w:val="24"/>
          <w:szCs w:val="24"/>
        </w:rPr>
      </w:pPr>
      <w:r>
        <w:rPr>
          <w:sz w:val="24"/>
          <w:szCs w:val="24"/>
        </w:rPr>
        <w:t>Copying and repetition</w:t>
      </w:r>
    </w:p>
    <w:p w:rsidR="00F914CD" w:rsidRDefault="00F914CD" w:rsidP="00F914CD">
      <w:pPr>
        <w:pStyle w:val="NoSpacing"/>
        <w:numPr>
          <w:ilvl w:val="0"/>
          <w:numId w:val="1"/>
        </w:numPr>
        <w:jc w:val="both"/>
        <w:rPr>
          <w:sz w:val="24"/>
          <w:szCs w:val="24"/>
        </w:rPr>
      </w:pPr>
      <w:r>
        <w:rPr>
          <w:sz w:val="24"/>
          <w:szCs w:val="24"/>
        </w:rPr>
        <w:t>Signature</w:t>
      </w:r>
    </w:p>
    <w:p w:rsidR="00F914CD" w:rsidRDefault="00F914CD" w:rsidP="00F914CD">
      <w:pPr>
        <w:pStyle w:val="NoSpacing"/>
        <w:numPr>
          <w:ilvl w:val="0"/>
          <w:numId w:val="1"/>
        </w:numPr>
        <w:jc w:val="both"/>
        <w:rPr>
          <w:sz w:val="24"/>
          <w:szCs w:val="24"/>
        </w:rPr>
      </w:pPr>
      <w:r>
        <w:rPr>
          <w:sz w:val="24"/>
          <w:szCs w:val="24"/>
        </w:rPr>
        <w:t>Price</w:t>
      </w:r>
    </w:p>
    <w:p w:rsidR="00F914CD" w:rsidRPr="00511282" w:rsidRDefault="00F914CD" w:rsidP="00F914CD">
      <w:pPr>
        <w:pStyle w:val="NoSpacing"/>
        <w:numPr>
          <w:ilvl w:val="0"/>
          <w:numId w:val="1"/>
        </w:numPr>
        <w:jc w:val="both"/>
        <w:rPr>
          <w:sz w:val="24"/>
          <w:szCs w:val="24"/>
        </w:rPr>
      </w:pPr>
      <w:r>
        <w:rPr>
          <w:sz w:val="24"/>
          <w:szCs w:val="24"/>
        </w:rPr>
        <w:t>Chemical analysis</w:t>
      </w:r>
    </w:p>
    <w:p w:rsidR="00F914CD" w:rsidRDefault="00F914CD" w:rsidP="00F914CD">
      <w:pPr>
        <w:pStyle w:val="NoSpacing"/>
        <w:jc w:val="both"/>
        <w:rPr>
          <w:sz w:val="24"/>
          <w:szCs w:val="24"/>
        </w:rPr>
      </w:pPr>
    </w:p>
    <w:p w:rsidR="00F914CD" w:rsidRDefault="00F914CD" w:rsidP="00F914CD">
      <w:pPr>
        <w:pStyle w:val="NoSpacing"/>
        <w:jc w:val="both"/>
        <w:rPr>
          <w:sz w:val="24"/>
          <w:szCs w:val="24"/>
        </w:rPr>
      </w:pPr>
      <w:r>
        <w:rPr>
          <w:sz w:val="24"/>
          <w:szCs w:val="24"/>
        </w:rPr>
        <w:t>ICAAD feels that the time for answers has come. The Art world at large needs to know about these books, the harm they have done to the reputation of a great artist. We request that all copies are withdrawn from circulation, libraries and institutions. In addition we need to remind Anthony Parton, Denise Bazetoux and Patricia Railing of their responsibilities as art historians and to cease writing certificates on paintings that, on our evidence alone, cannot have been painted by the hand of Natalia Goncharova.</w:t>
      </w:r>
    </w:p>
    <w:p w:rsidR="001A1E04" w:rsidRDefault="001A1E04"/>
    <w:sectPr w:rsidR="001A1E04">
      <w:footerReference w:type="default" r:id="rId27"/>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HeliosBlack">
    <w:panose1 w:val="00000000000000000000"/>
    <w:charset w:val="00"/>
    <w:family w:val="auto"/>
    <w:notTrueType/>
    <w:pitch w:val="default"/>
    <w:sig w:usb0="00000003" w:usb1="00000000" w:usb2="00000000" w:usb3="00000000" w:csb0="00000001" w:csb1="00000000"/>
  </w:font>
  <w:font w:name="Helios">
    <w:altName w:val="Times New Roman"/>
    <w:panose1 w:val="00000000000000000000"/>
    <w:charset w:val="CC"/>
    <w:family w:val="auto"/>
    <w:notTrueType/>
    <w:pitch w:val="default"/>
    <w:sig w:usb0="00000201" w:usb1="00000000" w:usb2="00000000" w:usb3="00000000" w:csb0="00000004" w:csb1="00000000"/>
  </w:font>
  <w:font w:name="MyriadPro-Regular">
    <w:altName w:val="MS Gothic"/>
    <w:panose1 w:val="00000000000000000000"/>
    <w:charset w:val="80"/>
    <w:family w:val="swiss"/>
    <w:notTrueType/>
    <w:pitch w:val="default"/>
    <w:sig w:usb0="00000000" w:usb1="08070000" w:usb2="00000010" w:usb3="00000000" w:csb0="0002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E6D5A" w:rsidRDefault="00F914CD">
    <w:pPr>
      <w:pStyle w:val="Footer"/>
      <w:pBdr>
        <w:top w:val="thinThickSmallGap" w:sz="24" w:space="1" w:color="622423" w:themeColor="accent2" w:themeShade="7F"/>
      </w:pBdr>
      <w:rPr>
        <w:rFonts w:asciiTheme="majorHAnsi" w:eastAsiaTheme="majorEastAsia" w:hAnsiTheme="majorHAnsi" w:cstheme="majorBidi"/>
      </w:rPr>
    </w:pPr>
    <w:r>
      <w:rPr>
        <w:rFonts w:asciiTheme="majorHAnsi" w:eastAsiaTheme="majorEastAsia" w:hAnsiTheme="majorHAnsi" w:cstheme="majorBidi"/>
      </w:rPr>
      <w:t>ICAAD/Goncharova/Sept 13</w:t>
    </w:r>
    <w:r>
      <w:rPr>
        <w:rFonts w:asciiTheme="majorHAnsi" w:eastAsiaTheme="majorEastAsia" w:hAnsiTheme="majorHAnsi" w:cstheme="majorBidi"/>
      </w:rPr>
      <w:ptab w:relativeTo="margin" w:alignment="right" w:leader="none"/>
    </w:r>
    <w:r>
      <w:rPr>
        <w:rFonts w:asciiTheme="majorHAnsi" w:eastAsiaTheme="majorEastAsia" w:hAnsiTheme="majorHAnsi" w:cstheme="majorBidi"/>
      </w:rPr>
      <w:t xml:space="preserve">Page </w:t>
    </w:r>
    <w:r>
      <w:rPr>
        <w:rFonts w:eastAsiaTheme="minorEastAsia"/>
      </w:rPr>
      <w:fldChar w:fldCharType="begin"/>
    </w:r>
    <w:r>
      <w:instrText xml:space="preserve"> PAGE   \* MERGEFORMAT </w:instrText>
    </w:r>
    <w:r>
      <w:rPr>
        <w:rFonts w:eastAsiaTheme="minorEastAsia"/>
      </w:rPr>
      <w:fldChar w:fldCharType="separate"/>
    </w:r>
    <w:r w:rsidRPr="00F914CD">
      <w:rPr>
        <w:rFonts w:asciiTheme="majorHAnsi" w:eastAsiaTheme="majorEastAsia" w:hAnsiTheme="majorHAnsi" w:cstheme="majorBidi"/>
        <w:noProof/>
      </w:rPr>
      <w:t>3</w:t>
    </w:r>
    <w:r>
      <w:rPr>
        <w:rFonts w:asciiTheme="majorHAnsi" w:eastAsiaTheme="majorEastAsia" w:hAnsiTheme="majorHAnsi" w:cstheme="majorBidi"/>
        <w:noProof/>
      </w:rPr>
      <w:fldChar w:fldCharType="end"/>
    </w:r>
  </w:p>
  <w:p w:rsidR="0077692C" w:rsidRDefault="00F914CD">
    <w:pPr>
      <w:pStyle w:val="Foo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EC3B38"/>
    <w:multiLevelType w:val="hybridMultilevel"/>
    <w:tmpl w:val="4C5A6E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914CD"/>
    <w:rsid w:val="0000285B"/>
    <w:rsid w:val="00002D48"/>
    <w:rsid w:val="000145CB"/>
    <w:rsid w:val="00023363"/>
    <w:rsid w:val="000240A7"/>
    <w:rsid w:val="00040E55"/>
    <w:rsid w:val="00041217"/>
    <w:rsid w:val="00046692"/>
    <w:rsid w:val="00046F86"/>
    <w:rsid w:val="00047521"/>
    <w:rsid w:val="00051728"/>
    <w:rsid w:val="00051E8B"/>
    <w:rsid w:val="00052B51"/>
    <w:rsid w:val="0005652C"/>
    <w:rsid w:val="00062567"/>
    <w:rsid w:val="00064AF9"/>
    <w:rsid w:val="00065A27"/>
    <w:rsid w:val="00070059"/>
    <w:rsid w:val="00070B18"/>
    <w:rsid w:val="00071A03"/>
    <w:rsid w:val="00076288"/>
    <w:rsid w:val="000770E3"/>
    <w:rsid w:val="0008281B"/>
    <w:rsid w:val="00082D7B"/>
    <w:rsid w:val="00083167"/>
    <w:rsid w:val="00084176"/>
    <w:rsid w:val="00084BCE"/>
    <w:rsid w:val="00086E2C"/>
    <w:rsid w:val="00090AEF"/>
    <w:rsid w:val="000927CC"/>
    <w:rsid w:val="00093F77"/>
    <w:rsid w:val="000959AF"/>
    <w:rsid w:val="000A0642"/>
    <w:rsid w:val="000B0C91"/>
    <w:rsid w:val="000B5F3F"/>
    <w:rsid w:val="000B6C01"/>
    <w:rsid w:val="000C0F1A"/>
    <w:rsid w:val="000C1810"/>
    <w:rsid w:val="000C4C8E"/>
    <w:rsid w:val="000C55A7"/>
    <w:rsid w:val="000D2EAA"/>
    <w:rsid w:val="000D3678"/>
    <w:rsid w:val="000D44EA"/>
    <w:rsid w:val="000D5568"/>
    <w:rsid w:val="000D57F4"/>
    <w:rsid w:val="000D74EF"/>
    <w:rsid w:val="000D7DCE"/>
    <w:rsid w:val="000E1625"/>
    <w:rsid w:val="000E426A"/>
    <w:rsid w:val="000E5940"/>
    <w:rsid w:val="000E6F4F"/>
    <w:rsid w:val="000F25BB"/>
    <w:rsid w:val="000F3ABA"/>
    <w:rsid w:val="00105B78"/>
    <w:rsid w:val="00112661"/>
    <w:rsid w:val="001167A4"/>
    <w:rsid w:val="00124659"/>
    <w:rsid w:val="00126A64"/>
    <w:rsid w:val="00126ADE"/>
    <w:rsid w:val="00130178"/>
    <w:rsid w:val="00130374"/>
    <w:rsid w:val="0013108F"/>
    <w:rsid w:val="00131DD0"/>
    <w:rsid w:val="0013510C"/>
    <w:rsid w:val="00135501"/>
    <w:rsid w:val="00140D0D"/>
    <w:rsid w:val="00143C3E"/>
    <w:rsid w:val="00144967"/>
    <w:rsid w:val="001463CE"/>
    <w:rsid w:val="0014698F"/>
    <w:rsid w:val="00147D52"/>
    <w:rsid w:val="001503CF"/>
    <w:rsid w:val="00151D00"/>
    <w:rsid w:val="00152F0F"/>
    <w:rsid w:val="00155F74"/>
    <w:rsid w:val="00156D34"/>
    <w:rsid w:val="001576EA"/>
    <w:rsid w:val="00164388"/>
    <w:rsid w:val="00166AC9"/>
    <w:rsid w:val="00167718"/>
    <w:rsid w:val="00172812"/>
    <w:rsid w:val="001753C9"/>
    <w:rsid w:val="0018100D"/>
    <w:rsid w:val="00181297"/>
    <w:rsid w:val="00182BAD"/>
    <w:rsid w:val="001851D7"/>
    <w:rsid w:val="00187E1A"/>
    <w:rsid w:val="00187EC6"/>
    <w:rsid w:val="001938AA"/>
    <w:rsid w:val="00195809"/>
    <w:rsid w:val="00195AB9"/>
    <w:rsid w:val="001A1804"/>
    <w:rsid w:val="001A1E04"/>
    <w:rsid w:val="001A3AF7"/>
    <w:rsid w:val="001A5F72"/>
    <w:rsid w:val="001A6C14"/>
    <w:rsid w:val="001A7813"/>
    <w:rsid w:val="001A7F4A"/>
    <w:rsid w:val="001B1418"/>
    <w:rsid w:val="001B3593"/>
    <w:rsid w:val="001B58CB"/>
    <w:rsid w:val="001B6A84"/>
    <w:rsid w:val="001C3AB1"/>
    <w:rsid w:val="001C439F"/>
    <w:rsid w:val="001D442F"/>
    <w:rsid w:val="001E1224"/>
    <w:rsid w:val="001E3B41"/>
    <w:rsid w:val="001E44E9"/>
    <w:rsid w:val="001E4D44"/>
    <w:rsid w:val="001E6DBE"/>
    <w:rsid w:val="001F1520"/>
    <w:rsid w:val="001F565D"/>
    <w:rsid w:val="001F790A"/>
    <w:rsid w:val="0020554D"/>
    <w:rsid w:val="00207D15"/>
    <w:rsid w:val="00212367"/>
    <w:rsid w:val="00212776"/>
    <w:rsid w:val="00217780"/>
    <w:rsid w:val="00231810"/>
    <w:rsid w:val="00232D13"/>
    <w:rsid w:val="0024473C"/>
    <w:rsid w:val="00245A02"/>
    <w:rsid w:val="00250AED"/>
    <w:rsid w:val="00253F13"/>
    <w:rsid w:val="002560A9"/>
    <w:rsid w:val="00257AAF"/>
    <w:rsid w:val="00261002"/>
    <w:rsid w:val="00262F3E"/>
    <w:rsid w:val="002705A2"/>
    <w:rsid w:val="00270FC6"/>
    <w:rsid w:val="00271826"/>
    <w:rsid w:val="0027497A"/>
    <w:rsid w:val="00282473"/>
    <w:rsid w:val="00282825"/>
    <w:rsid w:val="0028299F"/>
    <w:rsid w:val="00283AD4"/>
    <w:rsid w:val="00287071"/>
    <w:rsid w:val="002903E8"/>
    <w:rsid w:val="00292F84"/>
    <w:rsid w:val="002950B3"/>
    <w:rsid w:val="002A0729"/>
    <w:rsid w:val="002A18BC"/>
    <w:rsid w:val="002A26E2"/>
    <w:rsid w:val="002A7D04"/>
    <w:rsid w:val="002B09D3"/>
    <w:rsid w:val="002B3DFB"/>
    <w:rsid w:val="002B4457"/>
    <w:rsid w:val="002B5FB1"/>
    <w:rsid w:val="002B63A9"/>
    <w:rsid w:val="002B7FC0"/>
    <w:rsid w:val="002D07C2"/>
    <w:rsid w:val="002D3729"/>
    <w:rsid w:val="002D5526"/>
    <w:rsid w:val="002E0BB0"/>
    <w:rsid w:val="002E49AE"/>
    <w:rsid w:val="002F074B"/>
    <w:rsid w:val="002F3477"/>
    <w:rsid w:val="002F3AFD"/>
    <w:rsid w:val="002F43F3"/>
    <w:rsid w:val="002F63D6"/>
    <w:rsid w:val="002F69D1"/>
    <w:rsid w:val="002F7E0E"/>
    <w:rsid w:val="00307010"/>
    <w:rsid w:val="00311179"/>
    <w:rsid w:val="003116A5"/>
    <w:rsid w:val="00312376"/>
    <w:rsid w:val="00316059"/>
    <w:rsid w:val="0032107D"/>
    <w:rsid w:val="00323228"/>
    <w:rsid w:val="0032336C"/>
    <w:rsid w:val="00324F88"/>
    <w:rsid w:val="00326CC7"/>
    <w:rsid w:val="003278FC"/>
    <w:rsid w:val="003375DA"/>
    <w:rsid w:val="00351542"/>
    <w:rsid w:val="00363014"/>
    <w:rsid w:val="0036438D"/>
    <w:rsid w:val="00371BC4"/>
    <w:rsid w:val="00380358"/>
    <w:rsid w:val="003856D2"/>
    <w:rsid w:val="00387C4F"/>
    <w:rsid w:val="003931FD"/>
    <w:rsid w:val="00393620"/>
    <w:rsid w:val="003A1AE4"/>
    <w:rsid w:val="003A2A57"/>
    <w:rsid w:val="003A4694"/>
    <w:rsid w:val="003A7683"/>
    <w:rsid w:val="003B5973"/>
    <w:rsid w:val="003B6AA6"/>
    <w:rsid w:val="003C4363"/>
    <w:rsid w:val="003D701E"/>
    <w:rsid w:val="003E2150"/>
    <w:rsid w:val="004042DA"/>
    <w:rsid w:val="004045A2"/>
    <w:rsid w:val="00407F35"/>
    <w:rsid w:val="00412827"/>
    <w:rsid w:val="00412E57"/>
    <w:rsid w:val="00412EE4"/>
    <w:rsid w:val="00415B66"/>
    <w:rsid w:val="004209A1"/>
    <w:rsid w:val="0042293E"/>
    <w:rsid w:val="0042688C"/>
    <w:rsid w:val="004317D9"/>
    <w:rsid w:val="00432952"/>
    <w:rsid w:val="00434D99"/>
    <w:rsid w:val="00442E9A"/>
    <w:rsid w:val="00444E3C"/>
    <w:rsid w:val="004464F8"/>
    <w:rsid w:val="00446C50"/>
    <w:rsid w:val="00453E79"/>
    <w:rsid w:val="004555D2"/>
    <w:rsid w:val="0046120A"/>
    <w:rsid w:val="00464162"/>
    <w:rsid w:val="00465AF4"/>
    <w:rsid w:val="00465C8D"/>
    <w:rsid w:val="00467C14"/>
    <w:rsid w:val="00470EA8"/>
    <w:rsid w:val="0047318C"/>
    <w:rsid w:val="00474538"/>
    <w:rsid w:val="004768C5"/>
    <w:rsid w:val="00480963"/>
    <w:rsid w:val="004814EE"/>
    <w:rsid w:val="004862FA"/>
    <w:rsid w:val="004914B2"/>
    <w:rsid w:val="004935CB"/>
    <w:rsid w:val="00493A28"/>
    <w:rsid w:val="004A0D9F"/>
    <w:rsid w:val="004A17DF"/>
    <w:rsid w:val="004A2643"/>
    <w:rsid w:val="004A32BC"/>
    <w:rsid w:val="004A6B50"/>
    <w:rsid w:val="004B466A"/>
    <w:rsid w:val="004B549C"/>
    <w:rsid w:val="004B5961"/>
    <w:rsid w:val="004B66CD"/>
    <w:rsid w:val="004B793B"/>
    <w:rsid w:val="004C14D5"/>
    <w:rsid w:val="004C25A9"/>
    <w:rsid w:val="004C31ED"/>
    <w:rsid w:val="004D03D0"/>
    <w:rsid w:val="004D33CC"/>
    <w:rsid w:val="004D3598"/>
    <w:rsid w:val="004E398A"/>
    <w:rsid w:val="004F10EF"/>
    <w:rsid w:val="004F4CEE"/>
    <w:rsid w:val="0050166C"/>
    <w:rsid w:val="00501A5D"/>
    <w:rsid w:val="005040A2"/>
    <w:rsid w:val="00511D02"/>
    <w:rsid w:val="005121FC"/>
    <w:rsid w:val="00513009"/>
    <w:rsid w:val="00514821"/>
    <w:rsid w:val="00517178"/>
    <w:rsid w:val="00523E84"/>
    <w:rsid w:val="00526337"/>
    <w:rsid w:val="00530E55"/>
    <w:rsid w:val="00531CFD"/>
    <w:rsid w:val="00545962"/>
    <w:rsid w:val="00553CD5"/>
    <w:rsid w:val="005602B5"/>
    <w:rsid w:val="005646D0"/>
    <w:rsid w:val="00567827"/>
    <w:rsid w:val="0057000E"/>
    <w:rsid w:val="00570AC1"/>
    <w:rsid w:val="00571CC5"/>
    <w:rsid w:val="0058642F"/>
    <w:rsid w:val="00591292"/>
    <w:rsid w:val="00592D0F"/>
    <w:rsid w:val="00596109"/>
    <w:rsid w:val="005A07E3"/>
    <w:rsid w:val="005A1D1A"/>
    <w:rsid w:val="005A2EB9"/>
    <w:rsid w:val="005A2FA9"/>
    <w:rsid w:val="005A38D9"/>
    <w:rsid w:val="005A466E"/>
    <w:rsid w:val="005A47BC"/>
    <w:rsid w:val="005A4B79"/>
    <w:rsid w:val="005A5A3D"/>
    <w:rsid w:val="005A7778"/>
    <w:rsid w:val="005B1399"/>
    <w:rsid w:val="005C52F3"/>
    <w:rsid w:val="005D07F1"/>
    <w:rsid w:val="005D1102"/>
    <w:rsid w:val="005D1D1C"/>
    <w:rsid w:val="005D3326"/>
    <w:rsid w:val="005D6CD1"/>
    <w:rsid w:val="005E1990"/>
    <w:rsid w:val="005E2C3C"/>
    <w:rsid w:val="005E2DA0"/>
    <w:rsid w:val="005E2EEC"/>
    <w:rsid w:val="005E33F2"/>
    <w:rsid w:val="005F302C"/>
    <w:rsid w:val="005F356A"/>
    <w:rsid w:val="005F3C34"/>
    <w:rsid w:val="005F5BFB"/>
    <w:rsid w:val="005F69AE"/>
    <w:rsid w:val="00600A7F"/>
    <w:rsid w:val="00600F1E"/>
    <w:rsid w:val="00601F4B"/>
    <w:rsid w:val="006065F4"/>
    <w:rsid w:val="006159B9"/>
    <w:rsid w:val="00617F20"/>
    <w:rsid w:val="00622AD0"/>
    <w:rsid w:val="006230EC"/>
    <w:rsid w:val="00623200"/>
    <w:rsid w:val="00625134"/>
    <w:rsid w:val="006253BC"/>
    <w:rsid w:val="00625F32"/>
    <w:rsid w:val="006276C5"/>
    <w:rsid w:val="00633AB2"/>
    <w:rsid w:val="006355FD"/>
    <w:rsid w:val="00635C28"/>
    <w:rsid w:val="00636FFA"/>
    <w:rsid w:val="006409F2"/>
    <w:rsid w:val="006433EA"/>
    <w:rsid w:val="00644E02"/>
    <w:rsid w:val="006461F2"/>
    <w:rsid w:val="00647C9A"/>
    <w:rsid w:val="0065743B"/>
    <w:rsid w:val="006636DB"/>
    <w:rsid w:val="0066539A"/>
    <w:rsid w:val="00665DD4"/>
    <w:rsid w:val="006735C9"/>
    <w:rsid w:val="00681779"/>
    <w:rsid w:val="0068243A"/>
    <w:rsid w:val="006861E4"/>
    <w:rsid w:val="006928B9"/>
    <w:rsid w:val="00693404"/>
    <w:rsid w:val="00695039"/>
    <w:rsid w:val="00695955"/>
    <w:rsid w:val="006A6290"/>
    <w:rsid w:val="006C0363"/>
    <w:rsid w:val="006C1D8D"/>
    <w:rsid w:val="006C21C9"/>
    <w:rsid w:val="006C5B79"/>
    <w:rsid w:val="006D2C0D"/>
    <w:rsid w:val="006D4712"/>
    <w:rsid w:val="006E3DB7"/>
    <w:rsid w:val="006F0F99"/>
    <w:rsid w:val="006F2C85"/>
    <w:rsid w:val="006F4D7A"/>
    <w:rsid w:val="00707B56"/>
    <w:rsid w:val="007114BA"/>
    <w:rsid w:val="007142B9"/>
    <w:rsid w:val="00715B31"/>
    <w:rsid w:val="0071636B"/>
    <w:rsid w:val="00716D1C"/>
    <w:rsid w:val="00720AFD"/>
    <w:rsid w:val="007216D0"/>
    <w:rsid w:val="0072372C"/>
    <w:rsid w:val="00731FA6"/>
    <w:rsid w:val="00732F03"/>
    <w:rsid w:val="007355BF"/>
    <w:rsid w:val="0074016A"/>
    <w:rsid w:val="00747F86"/>
    <w:rsid w:val="007501B6"/>
    <w:rsid w:val="00752611"/>
    <w:rsid w:val="00756D47"/>
    <w:rsid w:val="007619E5"/>
    <w:rsid w:val="00762EDE"/>
    <w:rsid w:val="007631DE"/>
    <w:rsid w:val="00765CB9"/>
    <w:rsid w:val="00770311"/>
    <w:rsid w:val="00770E7E"/>
    <w:rsid w:val="0077113D"/>
    <w:rsid w:val="007743BA"/>
    <w:rsid w:val="00777035"/>
    <w:rsid w:val="007816E0"/>
    <w:rsid w:val="00792783"/>
    <w:rsid w:val="00792E85"/>
    <w:rsid w:val="00796F02"/>
    <w:rsid w:val="0079747F"/>
    <w:rsid w:val="007A11DB"/>
    <w:rsid w:val="007A29FB"/>
    <w:rsid w:val="007A3B55"/>
    <w:rsid w:val="007A4A3C"/>
    <w:rsid w:val="007A4F92"/>
    <w:rsid w:val="007A5106"/>
    <w:rsid w:val="007A5EF3"/>
    <w:rsid w:val="007A649A"/>
    <w:rsid w:val="007B2E68"/>
    <w:rsid w:val="007B32E6"/>
    <w:rsid w:val="007C1F23"/>
    <w:rsid w:val="007C216A"/>
    <w:rsid w:val="007C42B8"/>
    <w:rsid w:val="007C5072"/>
    <w:rsid w:val="007D0CE3"/>
    <w:rsid w:val="007D15D6"/>
    <w:rsid w:val="007D46C5"/>
    <w:rsid w:val="007E418C"/>
    <w:rsid w:val="007E7E54"/>
    <w:rsid w:val="007F1A0B"/>
    <w:rsid w:val="007F28FC"/>
    <w:rsid w:val="007F4EDC"/>
    <w:rsid w:val="007F56A3"/>
    <w:rsid w:val="00804D06"/>
    <w:rsid w:val="00805D4C"/>
    <w:rsid w:val="008069A2"/>
    <w:rsid w:val="00810698"/>
    <w:rsid w:val="008139F6"/>
    <w:rsid w:val="00816C14"/>
    <w:rsid w:val="0082362F"/>
    <w:rsid w:val="00824314"/>
    <w:rsid w:val="0082490B"/>
    <w:rsid w:val="00825D2C"/>
    <w:rsid w:val="00827DA4"/>
    <w:rsid w:val="008337AC"/>
    <w:rsid w:val="0083426F"/>
    <w:rsid w:val="00837B8D"/>
    <w:rsid w:val="00842856"/>
    <w:rsid w:val="00844A28"/>
    <w:rsid w:val="00846019"/>
    <w:rsid w:val="00847119"/>
    <w:rsid w:val="00852277"/>
    <w:rsid w:val="00857C91"/>
    <w:rsid w:val="0086031C"/>
    <w:rsid w:val="00860F3E"/>
    <w:rsid w:val="00863C4D"/>
    <w:rsid w:val="00865164"/>
    <w:rsid w:val="008656E3"/>
    <w:rsid w:val="00872507"/>
    <w:rsid w:val="00872688"/>
    <w:rsid w:val="00882B10"/>
    <w:rsid w:val="00892CAA"/>
    <w:rsid w:val="0089439B"/>
    <w:rsid w:val="008A02B7"/>
    <w:rsid w:val="008A37BF"/>
    <w:rsid w:val="008A5499"/>
    <w:rsid w:val="008A71CD"/>
    <w:rsid w:val="008B2947"/>
    <w:rsid w:val="008D1092"/>
    <w:rsid w:val="008D47F1"/>
    <w:rsid w:val="008D5325"/>
    <w:rsid w:val="008D5476"/>
    <w:rsid w:val="008D746E"/>
    <w:rsid w:val="008E13B6"/>
    <w:rsid w:val="008E252B"/>
    <w:rsid w:val="008E3138"/>
    <w:rsid w:val="008E6D7E"/>
    <w:rsid w:val="008E7679"/>
    <w:rsid w:val="008F2D3C"/>
    <w:rsid w:val="008F638D"/>
    <w:rsid w:val="008F7F24"/>
    <w:rsid w:val="0090305E"/>
    <w:rsid w:val="009046E7"/>
    <w:rsid w:val="009070A3"/>
    <w:rsid w:val="00911360"/>
    <w:rsid w:val="00912C13"/>
    <w:rsid w:val="00914240"/>
    <w:rsid w:val="00914424"/>
    <w:rsid w:val="00915A3B"/>
    <w:rsid w:val="00917A3B"/>
    <w:rsid w:val="00920558"/>
    <w:rsid w:val="009330E1"/>
    <w:rsid w:val="009350E3"/>
    <w:rsid w:val="00940C8B"/>
    <w:rsid w:val="009430C2"/>
    <w:rsid w:val="00946041"/>
    <w:rsid w:val="009466FB"/>
    <w:rsid w:val="0095050D"/>
    <w:rsid w:val="00951D26"/>
    <w:rsid w:val="00960322"/>
    <w:rsid w:val="00960F3A"/>
    <w:rsid w:val="00961F8D"/>
    <w:rsid w:val="00963E3B"/>
    <w:rsid w:val="00965DF1"/>
    <w:rsid w:val="0096799F"/>
    <w:rsid w:val="00972DBF"/>
    <w:rsid w:val="00975AF7"/>
    <w:rsid w:val="00980E5A"/>
    <w:rsid w:val="00987C91"/>
    <w:rsid w:val="00993BF2"/>
    <w:rsid w:val="0099459B"/>
    <w:rsid w:val="009A52A8"/>
    <w:rsid w:val="009A5AB7"/>
    <w:rsid w:val="009A7930"/>
    <w:rsid w:val="009B4AD1"/>
    <w:rsid w:val="009B5A0B"/>
    <w:rsid w:val="009B6D6F"/>
    <w:rsid w:val="009B7684"/>
    <w:rsid w:val="009C2872"/>
    <w:rsid w:val="009C611B"/>
    <w:rsid w:val="009C6997"/>
    <w:rsid w:val="009D0AB0"/>
    <w:rsid w:val="009D3C6D"/>
    <w:rsid w:val="009D547F"/>
    <w:rsid w:val="009E3F17"/>
    <w:rsid w:val="009E4AB4"/>
    <w:rsid w:val="009E52CE"/>
    <w:rsid w:val="009F03E2"/>
    <w:rsid w:val="009F157E"/>
    <w:rsid w:val="009F26AD"/>
    <w:rsid w:val="009F6036"/>
    <w:rsid w:val="00A0409D"/>
    <w:rsid w:val="00A06EED"/>
    <w:rsid w:val="00A07316"/>
    <w:rsid w:val="00A12B01"/>
    <w:rsid w:val="00A20B4F"/>
    <w:rsid w:val="00A21227"/>
    <w:rsid w:val="00A23132"/>
    <w:rsid w:val="00A251E5"/>
    <w:rsid w:val="00A326F1"/>
    <w:rsid w:val="00A32F7D"/>
    <w:rsid w:val="00A34858"/>
    <w:rsid w:val="00A364E3"/>
    <w:rsid w:val="00A36821"/>
    <w:rsid w:val="00A470C4"/>
    <w:rsid w:val="00A51A1F"/>
    <w:rsid w:val="00A51D02"/>
    <w:rsid w:val="00A52538"/>
    <w:rsid w:val="00A533F2"/>
    <w:rsid w:val="00A613B1"/>
    <w:rsid w:val="00A63A23"/>
    <w:rsid w:val="00A65F88"/>
    <w:rsid w:val="00A7587A"/>
    <w:rsid w:val="00A75880"/>
    <w:rsid w:val="00A76DF7"/>
    <w:rsid w:val="00A80472"/>
    <w:rsid w:val="00A812D5"/>
    <w:rsid w:val="00A87150"/>
    <w:rsid w:val="00A91679"/>
    <w:rsid w:val="00A91D3C"/>
    <w:rsid w:val="00A9282F"/>
    <w:rsid w:val="00A966E4"/>
    <w:rsid w:val="00AA026D"/>
    <w:rsid w:val="00AA0DC1"/>
    <w:rsid w:val="00AA2105"/>
    <w:rsid w:val="00AA3BBA"/>
    <w:rsid w:val="00AA6784"/>
    <w:rsid w:val="00AB40F4"/>
    <w:rsid w:val="00AB62D4"/>
    <w:rsid w:val="00AC00FE"/>
    <w:rsid w:val="00AC20EA"/>
    <w:rsid w:val="00AC46F4"/>
    <w:rsid w:val="00AC49C5"/>
    <w:rsid w:val="00AC52B4"/>
    <w:rsid w:val="00AD3995"/>
    <w:rsid w:val="00AE0AD6"/>
    <w:rsid w:val="00AE4166"/>
    <w:rsid w:val="00AF79E0"/>
    <w:rsid w:val="00B109AC"/>
    <w:rsid w:val="00B16418"/>
    <w:rsid w:val="00B25AE2"/>
    <w:rsid w:val="00B3262F"/>
    <w:rsid w:val="00B33419"/>
    <w:rsid w:val="00B4027D"/>
    <w:rsid w:val="00B468FA"/>
    <w:rsid w:val="00B50345"/>
    <w:rsid w:val="00B52A05"/>
    <w:rsid w:val="00B53179"/>
    <w:rsid w:val="00B573F3"/>
    <w:rsid w:val="00B722C0"/>
    <w:rsid w:val="00B74183"/>
    <w:rsid w:val="00B74C33"/>
    <w:rsid w:val="00B81899"/>
    <w:rsid w:val="00B82CF2"/>
    <w:rsid w:val="00B87C55"/>
    <w:rsid w:val="00B96103"/>
    <w:rsid w:val="00B96F03"/>
    <w:rsid w:val="00B973BE"/>
    <w:rsid w:val="00BA0A0E"/>
    <w:rsid w:val="00BA15A2"/>
    <w:rsid w:val="00BA236B"/>
    <w:rsid w:val="00BA2504"/>
    <w:rsid w:val="00BA5CF5"/>
    <w:rsid w:val="00BB20FA"/>
    <w:rsid w:val="00BB50C7"/>
    <w:rsid w:val="00BC0416"/>
    <w:rsid w:val="00BC7F58"/>
    <w:rsid w:val="00BD265C"/>
    <w:rsid w:val="00BD699D"/>
    <w:rsid w:val="00BD69A5"/>
    <w:rsid w:val="00BE0446"/>
    <w:rsid w:val="00BE2BB4"/>
    <w:rsid w:val="00BE3081"/>
    <w:rsid w:val="00BE3C48"/>
    <w:rsid w:val="00BE5DDF"/>
    <w:rsid w:val="00BE6081"/>
    <w:rsid w:val="00BE6C5A"/>
    <w:rsid w:val="00BF2FDD"/>
    <w:rsid w:val="00BF5887"/>
    <w:rsid w:val="00C01542"/>
    <w:rsid w:val="00C0720A"/>
    <w:rsid w:val="00C112D9"/>
    <w:rsid w:val="00C125F9"/>
    <w:rsid w:val="00C205FC"/>
    <w:rsid w:val="00C319BE"/>
    <w:rsid w:val="00C42D85"/>
    <w:rsid w:val="00C47CAE"/>
    <w:rsid w:val="00C54759"/>
    <w:rsid w:val="00C553F4"/>
    <w:rsid w:val="00C5690D"/>
    <w:rsid w:val="00C65B6A"/>
    <w:rsid w:val="00C71CAC"/>
    <w:rsid w:val="00C72085"/>
    <w:rsid w:val="00C72701"/>
    <w:rsid w:val="00C737CA"/>
    <w:rsid w:val="00C74553"/>
    <w:rsid w:val="00C75368"/>
    <w:rsid w:val="00C76DEE"/>
    <w:rsid w:val="00C77648"/>
    <w:rsid w:val="00C83CDB"/>
    <w:rsid w:val="00C84EDC"/>
    <w:rsid w:val="00C8696B"/>
    <w:rsid w:val="00C92E10"/>
    <w:rsid w:val="00CA61E4"/>
    <w:rsid w:val="00CA74E6"/>
    <w:rsid w:val="00CA76BE"/>
    <w:rsid w:val="00CA7B25"/>
    <w:rsid w:val="00CB1609"/>
    <w:rsid w:val="00CB3447"/>
    <w:rsid w:val="00CB771A"/>
    <w:rsid w:val="00CD15E2"/>
    <w:rsid w:val="00CD79CB"/>
    <w:rsid w:val="00CE26A7"/>
    <w:rsid w:val="00CE26D6"/>
    <w:rsid w:val="00CE2BBA"/>
    <w:rsid w:val="00CE3340"/>
    <w:rsid w:val="00CE52C2"/>
    <w:rsid w:val="00CE7E1A"/>
    <w:rsid w:val="00CF38A4"/>
    <w:rsid w:val="00CF3E79"/>
    <w:rsid w:val="00CF51D0"/>
    <w:rsid w:val="00CF6263"/>
    <w:rsid w:val="00CF79C9"/>
    <w:rsid w:val="00D03261"/>
    <w:rsid w:val="00D16379"/>
    <w:rsid w:val="00D169B4"/>
    <w:rsid w:val="00D17F60"/>
    <w:rsid w:val="00D22188"/>
    <w:rsid w:val="00D244CE"/>
    <w:rsid w:val="00D343A7"/>
    <w:rsid w:val="00D3572A"/>
    <w:rsid w:val="00D43933"/>
    <w:rsid w:val="00D465C8"/>
    <w:rsid w:val="00D46BDB"/>
    <w:rsid w:val="00D4774B"/>
    <w:rsid w:val="00D50744"/>
    <w:rsid w:val="00D515C4"/>
    <w:rsid w:val="00D605AA"/>
    <w:rsid w:val="00D63A87"/>
    <w:rsid w:val="00D641DB"/>
    <w:rsid w:val="00D66C49"/>
    <w:rsid w:val="00D6771C"/>
    <w:rsid w:val="00D704E7"/>
    <w:rsid w:val="00D7304F"/>
    <w:rsid w:val="00D740E3"/>
    <w:rsid w:val="00D76D70"/>
    <w:rsid w:val="00D771B3"/>
    <w:rsid w:val="00D7743F"/>
    <w:rsid w:val="00D7774D"/>
    <w:rsid w:val="00D824C2"/>
    <w:rsid w:val="00D8291D"/>
    <w:rsid w:val="00D84F22"/>
    <w:rsid w:val="00D86E3A"/>
    <w:rsid w:val="00D93288"/>
    <w:rsid w:val="00D94ABF"/>
    <w:rsid w:val="00D97C72"/>
    <w:rsid w:val="00DA09D6"/>
    <w:rsid w:val="00DA4C2E"/>
    <w:rsid w:val="00DA5E75"/>
    <w:rsid w:val="00DA6F5E"/>
    <w:rsid w:val="00DB13AB"/>
    <w:rsid w:val="00DB1C4C"/>
    <w:rsid w:val="00DB1D02"/>
    <w:rsid w:val="00DB251A"/>
    <w:rsid w:val="00DB41A1"/>
    <w:rsid w:val="00DC6C3C"/>
    <w:rsid w:val="00DC6FED"/>
    <w:rsid w:val="00DC7FE0"/>
    <w:rsid w:val="00DD30D8"/>
    <w:rsid w:val="00DD5E42"/>
    <w:rsid w:val="00DD76C9"/>
    <w:rsid w:val="00DD7E4D"/>
    <w:rsid w:val="00DE034B"/>
    <w:rsid w:val="00DE749F"/>
    <w:rsid w:val="00DF4C18"/>
    <w:rsid w:val="00E01588"/>
    <w:rsid w:val="00E043F1"/>
    <w:rsid w:val="00E06776"/>
    <w:rsid w:val="00E120AF"/>
    <w:rsid w:val="00E13F9E"/>
    <w:rsid w:val="00E1499F"/>
    <w:rsid w:val="00E14F4B"/>
    <w:rsid w:val="00E2318D"/>
    <w:rsid w:val="00E23225"/>
    <w:rsid w:val="00E252D6"/>
    <w:rsid w:val="00E26470"/>
    <w:rsid w:val="00E26AF6"/>
    <w:rsid w:val="00E34101"/>
    <w:rsid w:val="00E34339"/>
    <w:rsid w:val="00E344C9"/>
    <w:rsid w:val="00E369D7"/>
    <w:rsid w:val="00E37EE5"/>
    <w:rsid w:val="00E42106"/>
    <w:rsid w:val="00E44668"/>
    <w:rsid w:val="00E46648"/>
    <w:rsid w:val="00E50E8A"/>
    <w:rsid w:val="00E5393A"/>
    <w:rsid w:val="00E5589A"/>
    <w:rsid w:val="00E56CBB"/>
    <w:rsid w:val="00E62AA6"/>
    <w:rsid w:val="00E62B3E"/>
    <w:rsid w:val="00E660A9"/>
    <w:rsid w:val="00E74504"/>
    <w:rsid w:val="00E75871"/>
    <w:rsid w:val="00E77630"/>
    <w:rsid w:val="00E9105B"/>
    <w:rsid w:val="00E91778"/>
    <w:rsid w:val="00E91DF4"/>
    <w:rsid w:val="00E921A7"/>
    <w:rsid w:val="00E94394"/>
    <w:rsid w:val="00EA41EE"/>
    <w:rsid w:val="00EB481E"/>
    <w:rsid w:val="00EC33E8"/>
    <w:rsid w:val="00EC5E3D"/>
    <w:rsid w:val="00EC6095"/>
    <w:rsid w:val="00EC6BED"/>
    <w:rsid w:val="00EC7DF5"/>
    <w:rsid w:val="00ED5DFD"/>
    <w:rsid w:val="00ED6935"/>
    <w:rsid w:val="00ED7C7C"/>
    <w:rsid w:val="00EE050F"/>
    <w:rsid w:val="00EE0869"/>
    <w:rsid w:val="00EE2010"/>
    <w:rsid w:val="00EE7EB3"/>
    <w:rsid w:val="00EF2419"/>
    <w:rsid w:val="00EF2C91"/>
    <w:rsid w:val="00EF42D7"/>
    <w:rsid w:val="00EF7845"/>
    <w:rsid w:val="00F013EF"/>
    <w:rsid w:val="00F02C1F"/>
    <w:rsid w:val="00F05954"/>
    <w:rsid w:val="00F05F9C"/>
    <w:rsid w:val="00F06DB3"/>
    <w:rsid w:val="00F1093A"/>
    <w:rsid w:val="00F11567"/>
    <w:rsid w:val="00F12AF8"/>
    <w:rsid w:val="00F13FE9"/>
    <w:rsid w:val="00F14F09"/>
    <w:rsid w:val="00F167C1"/>
    <w:rsid w:val="00F21020"/>
    <w:rsid w:val="00F22534"/>
    <w:rsid w:val="00F24EC4"/>
    <w:rsid w:val="00F26C39"/>
    <w:rsid w:val="00F35191"/>
    <w:rsid w:val="00F43163"/>
    <w:rsid w:val="00F46105"/>
    <w:rsid w:val="00F46F85"/>
    <w:rsid w:val="00F474B1"/>
    <w:rsid w:val="00F47EEC"/>
    <w:rsid w:val="00F5373F"/>
    <w:rsid w:val="00F53C92"/>
    <w:rsid w:val="00F540B8"/>
    <w:rsid w:val="00F54840"/>
    <w:rsid w:val="00F56EBF"/>
    <w:rsid w:val="00F60386"/>
    <w:rsid w:val="00F63D5C"/>
    <w:rsid w:val="00F645C7"/>
    <w:rsid w:val="00F656D8"/>
    <w:rsid w:val="00F70FF9"/>
    <w:rsid w:val="00F73065"/>
    <w:rsid w:val="00F809E8"/>
    <w:rsid w:val="00F81F5C"/>
    <w:rsid w:val="00F8256B"/>
    <w:rsid w:val="00F83D52"/>
    <w:rsid w:val="00F84BA4"/>
    <w:rsid w:val="00F87429"/>
    <w:rsid w:val="00F87C6B"/>
    <w:rsid w:val="00F90D50"/>
    <w:rsid w:val="00F914CD"/>
    <w:rsid w:val="00FA0C43"/>
    <w:rsid w:val="00FA10BC"/>
    <w:rsid w:val="00FA26C5"/>
    <w:rsid w:val="00FA48A6"/>
    <w:rsid w:val="00FA50EB"/>
    <w:rsid w:val="00FA754A"/>
    <w:rsid w:val="00FB1723"/>
    <w:rsid w:val="00FB3E2A"/>
    <w:rsid w:val="00FB58B8"/>
    <w:rsid w:val="00FB5CAF"/>
    <w:rsid w:val="00FB768B"/>
    <w:rsid w:val="00FC1C3A"/>
    <w:rsid w:val="00FC6423"/>
    <w:rsid w:val="00FC77F9"/>
    <w:rsid w:val="00FD2BF9"/>
    <w:rsid w:val="00FD357F"/>
    <w:rsid w:val="00FD45B0"/>
    <w:rsid w:val="00FD4D9F"/>
    <w:rsid w:val="00FD763D"/>
    <w:rsid w:val="00FF3495"/>
    <w:rsid w:val="00FF3B3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914C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914CD"/>
    <w:pPr>
      <w:spacing w:after="0" w:line="240" w:lineRule="auto"/>
    </w:pPr>
  </w:style>
  <w:style w:type="table" w:styleId="TableGrid">
    <w:name w:val="Table Grid"/>
    <w:basedOn w:val="TableNormal"/>
    <w:uiPriority w:val="59"/>
    <w:rsid w:val="00F914C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F914CD"/>
    <w:pPr>
      <w:spacing w:before="100" w:beforeAutospacing="1" w:after="100" w:afterAutospacing="1" w:line="240" w:lineRule="auto"/>
    </w:pPr>
    <w:rPr>
      <w:rFonts w:ascii="Times New Roman" w:hAnsi="Times New Roman" w:cs="Times New Roman"/>
      <w:sz w:val="24"/>
      <w:szCs w:val="24"/>
      <w:lang w:eastAsia="en-GB"/>
    </w:rPr>
  </w:style>
  <w:style w:type="paragraph" w:styleId="Footer">
    <w:name w:val="footer"/>
    <w:basedOn w:val="Normal"/>
    <w:link w:val="FooterChar"/>
    <w:uiPriority w:val="99"/>
    <w:unhideWhenUsed/>
    <w:rsid w:val="00F914CD"/>
    <w:pPr>
      <w:tabs>
        <w:tab w:val="center" w:pos="4513"/>
        <w:tab w:val="right" w:pos="9026"/>
      </w:tabs>
      <w:spacing w:after="0" w:line="240" w:lineRule="auto"/>
    </w:pPr>
  </w:style>
  <w:style w:type="character" w:customStyle="1" w:styleId="FooterChar">
    <w:name w:val="Footer Char"/>
    <w:basedOn w:val="DefaultParagraphFont"/>
    <w:link w:val="Footer"/>
    <w:uiPriority w:val="99"/>
    <w:rsid w:val="00F914CD"/>
  </w:style>
  <w:style w:type="paragraph" w:styleId="BalloonText">
    <w:name w:val="Balloon Text"/>
    <w:basedOn w:val="Normal"/>
    <w:link w:val="BalloonTextChar"/>
    <w:uiPriority w:val="99"/>
    <w:semiHidden/>
    <w:unhideWhenUsed/>
    <w:rsid w:val="00F914C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914CD"/>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914C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914CD"/>
    <w:pPr>
      <w:spacing w:after="0" w:line="240" w:lineRule="auto"/>
    </w:pPr>
  </w:style>
  <w:style w:type="table" w:styleId="TableGrid">
    <w:name w:val="Table Grid"/>
    <w:basedOn w:val="TableNormal"/>
    <w:uiPriority w:val="59"/>
    <w:rsid w:val="00F914C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F914CD"/>
    <w:pPr>
      <w:spacing w:before="100" w:beforeAutospacing="1" w:after="100" w:afterAutospacing="1" w:line="240" w:lineRule="auto"/>
    </w:pPr>
    <w:rPr>
      <w:rFonts w:ascii="Times New Roman" w:hAnsi="Times New Roman" w:cs="Times New Roman"/>
      <w:sz w:val="24"/>
      <w:szCs w:val="24"/>
      <w:lang w:eastAsia="en-GB"/>
    </w:rPr>
  </w:style>
  <w:style w:type="paragraph" w:styleId="Footer">
    <w:name w:val="footer"/>
    <w:basedOn w:val="Normal"/>
    <w:link w:val="FooterChar"/>
    <w:uiPriority w:val="99"/>
    <w:unhideWhenUsed/>
    <w:rsid w:val="00F914CD"/>
    <w:pPr>
      <w:tabs>
        <w:tab w:val="center" w:pos="4513"/>
        <w:tab w:val="right" w:pos="9026"/>
      </w:tabs>
      <w:spacing w:after="0" w:line="240" w:lineRule="auto"/>
    </w:pPr>
  </w:style>
  <w:style w:type="character" w:customStyle="1" w:styleId="FooterChar">
    <w:name w:val="Footer Char"/>
    <w:basedOn w:val="DefaultParagraphFont"/>
    <w:link w:val="Footer"/>
    <w:uiPriority w:val="99"/>
    <w:rsid w:val="00F914CD"/>
  </w:style>
  <w:style w:type="paragraph" w:styleId="BalloonText">
    <w:name w:val="Balloon Text"/>
    <w:basedOn w:val="Normal"/>
    <w:link w:val="BalloonTextChar"/>
    <w:uiPriority w:val="99"/>
    <w:semiHidden/>
    <w:unhideWhenUsed/>
    <w:rsid w:val="00F914C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914CD"/>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g"/><Relationship Id="rId26" Type="http://schemas.openxmlformats.org/officeDocument/2006/relationships/image" Target="media/image21.jpeg"/><Relationship Id="rId3" Type="http://schemas.microsoft.com/office/2007/relationships/stylesWithEffects" Target="stylesWithEffects.xml"/><Relationship Id="rId21" Type="http://schemas.openxmlformats.org/officeDocument/2006/relationships/image" Target="media/image16.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jpe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jpeg"/><Relationship Id="rId24" Type="http://schemas.openxmlformats.org/officeDocument/2006/relationships/image" Target="media/image19.jpeg"/><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fontTable" Target="fontTable.xml"/><Relationship Id="rId10" Type="http://schemas.openxmlformats.org/officeDocument/2006/relationships/image" Target="media/image5.jpeg"/><Relationship Id="rId19" Type="http://schemas.openxmlformats.org/officeDocument/2006/relationships/image" Target="media/image14.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15</Pages>
  <Words>2973</Words>
  <Characters>15672</Characters>
  <Application>Microsoft Office Word</Application>
  <DocSecurity>0</DocSecurity>
  <Lines>423</Lines>
  <Paragraphs>160</Paragraphs>
  <ScaleCrop>false</ScaleCrop>
  <Company/>
  <LinksUpToDate>false</LinksUpToDate>
  <CharactersWithSpaces>18485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James Butterwick</dc:creator>
  <cp:lastModifiedBy>James Butterwick</cp:lastModifiedBy>
  <cp:revision>1</cp:revision>
  <dcterms:created xsi:type="dcterms:W3CDTF">2013-10-31T15:34:00Z</dcterms:created>
  <dcterms:modified xsi:type="dcterms:W3CDTF">2013-10-31T15:35:00Z</dcterms:modified>
</cp:coreProperties>
</file>